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1182" w14:textId="56809EAE" w:rsidR="00C4553D" w:rsidRPr="00927104" w:rsidRDefault="00FF2263" w:rsidP="00EE638D">
      <w:pPr>
        <w:pStyle w:val="Heading1"/>
      </w:pPr>
      <w:r w:rsidRPr="00927104">
        <w:t>topicality</w:t>
      </w:r>
      <w:r w:rsidR="006975F9">
        <w:t>---sanctions</w:t>
      </w:r>
    </w:p>
    <w:p w14:paraId="6F1C5247" w14:textId="77777777" w:rsidR="00C43727" w:rsidRDefault="00C43727" w:rsidP="00C43727"/>
    <w:p w14:paraId="26696A20" w14:textId="74D48F14" w:rsidR="00FF2263" w:rsidRPr="00927104" w:rsidRDefault="004E78EE" w:rsidP="000754BF">
      <w:pPr>
        <w:pStyle w:val="Heading2"/>
      </w:pPr>
      <w:r>
        <w:lastRenderedPageBreak/>
        <w:t>U</w:t>
      </w:r>
      <w:r w:rsidR="000754BF" w:rsidRPr="00927104">
        <w:t xml:space="preserve">nited </w:t>
      </w:r>
      <w:r>
        <w:t>S</w:t>
      </w:r>
      <w:r w:rsidR="000754BF" w:rsidRPr="00927104">
        <w:t>tates</w:t>
      </w:r>
    </w:p>
    <w:p w14:paraId="41172F5F" w14:textId="17A73A92" w:rsidR="00E96A1C" w:rsidRPr="00927104" w:rsidRDefault="00E96A1C" w:rsidP="00575345">
      <w:pPr>
        <w:pStyle w:val="Heading3"/>
      </w:pPr>
      <w:r w:rsidRPr="00927104">
        <w:lastRenderedPageBreak/>
        <w:t>us = federal government</w:t>
      </w:r>
    </w:p>
    <w:p w14:paraId="1A5774B1" w14:textId="3DCFE93E" w:rsidR="00575345" w:rsidRPr="00927104" w:rsidRDefault="00D92AE5" w:rsidP="00575345">
      <w:pPr>
        <w:pStyle w:val="Heading4"/>
        <w:rPr>
          <w:rFonts w:cs="Arial"/>
        </w:rPr>
      </w:pPr>
      <w:r w:rsidRPr="00927104">
        <w:rPr>
          <w:rFonts w:cs="Arial"/>
        </w:rPr>
        <w:t>‘</w:t>
      </w:r>
      <w:r w:rsidR="00575345" w:rsidRPr="00927104">
        <w:rPr>
          <w:rFonts w:cs="Arial"/>
        </w:rPr>
        <w:t>United States</w:t>
      </w:r>
      <w:r w:rsidR="007F4536" w:rsidRPr="00927104">
        <w:rPr>
          <w:rFonts w:cs="Arial"/>
        </w:rPr>
        <w:t>’</w:t>
      </w:r>
      <w:r w:rsidR="00575345" w:rsidRPr="00927104">
        <w:rPr>
          <w:rFonts w:cs="Arial"/>
        </w:rPr>
        <w:t xml:space="preserve"> is the </w:t>
      </w:r>
      <w:r w:rsidR="00575345" w:rsidRPr="00927104">
        <w:rPr>
          <w:rFonts w:cs="Arial"/>
          <w:u w:val="single"/>
        </w:rPr>
        <w:t>federal government</w:t>
      </w:r>
      <w:r w:rsidR="00575345" w:rsidRPr="00927104">
        <w:rPr>
          <w:rFonts w:cs="Arial"/>
        </w:rPr>
        <w:t>.</w:t>
      </w:r>
    </w:p>
    <w:p w14:paraId="28247B86" w14:textId="71704640" w:rsidR="00575345" w:rsidRPr="00927104" w:rsidRDefault="00575345" w:rsidP="00575345">
      <w:pPr>
        <w:rPr>
          <w:rFonts w:eastAsia="Calibri"/>
        </w:rPr>
      </w:pPr>
      <w:r w:rsidRPr="00927104">
        <w:rPr>
          <w:rFonts w:eastAsia="Calibri"/>
          <w:b/>
          <w:bCs/>
          <w:sz w:val="26"/>
        </w:rPr>
        <w:t>Mitchell ’15</w:t>
      </w:r>
      <w:r w:rsidRPr="00927104">
        <w:rPr>
          <w:rFonts w:eastAsia="Calibri"/>
        </w:rPr>
        <w:t xml:space="preserve"> [Paul; Founder of the Supreme Law Firm. Former Vice President for Legal Affairs and Counsel to an Arizona Trust. Private Attorney General. Criminal Investigator. MS and BA. “U.S. vs. U.S.A.” http://www.supremelaw.org/letters/us-v-usa.htm] TDI</w:t>
      </w:r>
    </w:p>
    <w:p w14:paraId="1AA399A0" w14:textId="77777777" w:rsidR="00575345" w:rsidRPr="00927104" w:rsidRDefault="00575345" w:rsidP="00575345">
      <w:pPr>
        <w:rPr>
          <w:sz w:val="16"/>
        </w:rPr>
      </w:pPr>
      <w:r w:rsidRPr="00927104">
        <w:rPr>
          <w:rFonts w:eastAsia="Calibri"/>
          <w:sz w:val="16"/>
        </w:rPr>
        <w:t xml:space="preserve">Note also that those </w:t>
      </w:r>
      <w:r w:rsidRPr="00927104">
        <w:rPr>
          <w:rFonts w:eastAsia="Calibri"/>
          <w:u w:val="single"/>
        </w:rPr>
        <w:t xml:space="preserve">Articles </w:t>
      </w:r>
      <w:r w:rsidRPr="00927104">
        <w:rPr>
          <w:rStyle w:val="Emphasis"/>
        </w:rPr>
        <w:t>clearly distinguished</w:t>
      </w:r>
      <w:r w:rsidRPr="00927104">
        <w:rPr>
          <w:rFonts w:eastAsia="Calibri"/>
          <w:sz w:val="16"/>
        </w:rPr>
        <w:t xml:space="preserve"> "</w:t>
      </w:r>
      <w:r w:rsidRPr="00927104">
        <w:rPr>
          <w:rStyle w:val="Emphasis"/>
        </w:rPr>
        <w:t>U</w:t>
      </w:r>
      <w:r w:rsidRPr="00927104">
        <w:rPr>
          <w:rFonts w:eastAsia="Calibri"/>
          <w:u w:val="single"/>
        </w:rPr>
        <w:t xml:space="preserve">nited </w:t>
      </w:r>
      <w:r w:rsidRPr="00927104">
        <w:rPr>
          <w:rStyle w:val="Emphasis"/>
        </w:rPr>
        <w:t>S</w:t>
      </w:r>
      <w:r w:rsidRPr="00927104">
        <w:rPr>
          <w:rFonts w:eastAsia="Calibri"/>
          <w:u w:val="single"/>
        </w:rPr>
        <w:t xml:space="preserve">tates of </w:t>
      </w:r>
      <w:r w:rsidRPr="00927104">
        <w:rPr>
          <w:rStyle w:val="Emphasis"/>
        </w:rPr>
        <w:t>A</w:t>
      </w:r>
      <w:r w:rsidRPr="00927104">
        <w:rPr>
          <w:rFonts w:eastAsia="Calibri"/>
          <w:u w:val="single"/>
        </w:rPr>
        <w:t>merica</w:t>
      </w:r>
      <w:r w:rsidRPr="00927104">
        <w:rPr>
          <w:rFonts w:eastAsia="Calibri"/>
          <w:sz w:val="16"/>
        </w:rPr>
        <w:t xml:space="preserve">" </w:t>
      </w:r>
      <w:r w:rsidRPr="00927104">
        <w:rPr>
          <w:rFonts w:eastAsia="Calibri"/>
          <w:u w:val="single"/>
        </w:rPr>
        <w:t>from</w:t>
      </w:r>
      <w:r w:rsidRPr="00927104">
        <w:rPr>
          <w:rFonts w:eastAsia="Calibri"/>
          <w:sz w:val="16"/>
        </w:rPr>
        <w:t xml:space="preserve"> "</w:t>
      </w:r>
      <w:r w:rsidRPr="00927104">
        <w:rPr>
          <w:rStyle w:val="Emphasis"/>
        </w:rPr>
        <w:t>U</w:t>
      </w:r>
      <w:r w:rsidRPr="00927104">
        <w:rPr>
          <w:rFonts w:eastAsia="Calibri"/>
          <w:u w:val="single"/>
        </w:rPr>
        <w:t xml:space="preserve">nited </w:t>
      </w:r>
      <w:r w:rsidRPr="00927104">
        <w:rPr>
          <w:rStyle w:val="Emphasis"/>
        </w:rPr>
        <w:t>S</w:t>
      </w:r>
      <w:r w:rsidRPr="00927104">
        <w:rPr>
          <w:rFonts w:eastAsia="Calibri"/>
          <w:u w:val="single"/>
        </w:rPr>
        <w:t>tates</w:t>
      </w:r>
      <w:r w:rsidRPr="00927104">
        <w:rPr>
          <w:rFonts w:eastAsia="Calibri"/>
          <w:sz w:val="16"/>
        </w:rPr>
        <w:t xml:space="preserve">" in Congress assembled. </w:t>
      </w:r>
      <w:r w:rsidRPr="00927104">
        <w:rPr>
          <w:rFonts w:eastAsia="Calibri"/>
          <w:u w:val="single"/>
        </w:rPr>
        <w:t>The States</w:t>
      </w:r>
      <w:r w:rsidRPr="00927104">
        <w:rPr>
          <w:rFonts w:eastAsia="Calibri"/>
          <w:sz w:val="16"/>
        </w:rPr>
        <w:t xml:space="preserve"> formally </w:t>
      </w:r>
      <w:r w:rsidRPr="00927104">
        <w:rPr>
          <w:rFonts w:eastAsia="Calibri"/>
          <w:u w:val="single"/>
        </w:rPr>
        <w:t>delegated certain powers to the federal government</w:t>
      </w:r>
      <w:r w:rsidRPr="00927104">
        <w:rPr>
          <w:rFonts w:eastAsia="Calibri"/>
          <w:sz w:val="16"/>
        </w:rPr>
        <w:t xml:space="preserve">, </w:t>
      </w:r>
      <w:r w:rsidRPr="00927104">
        <w:rPr>
          <w:rFonts w:eastAsia="Calibri"/>
          <w:u w:val="single"/>
        </w:rPr>
        <w:t xml:space="preserve">which is </w:t>
      </w:r>
      <w:r w:rsidRPr="00927104">
        <w:rPr>
          <w:rStyle w:val="Emphasis"/>
        </w:rPr>
        <w:t>clearly identified</w:t>
      </w:r>
      <w:r w:rsidRPr="00927104">
        <w:rPr>
          <w:rFonts w:eastAsia="Calibri"/>
          <w:u w:val="single"/>
        </w:rPr>
        <w:t xml:space="preserve"> in</w:t>
      </w:r>
      <w:r w:rsidRPr="00927104">
        <w:rPr>
          <w:rFonts w:eastAsia="Calibri"/>
          <w:sz w:val="16"/>
        </w:rPr>
        <w:t xml:space="preserve"> those </w:t>
      </w:r>
      <w:r w:rsidRPr="00927104">
        <w:rPr>
          <w:rFonts w:eastAsia="Calibri"/>
          <w:u w:val="single"/>
        </w:rPr>
        <w:t>Articles as the</w:t>
      </w:r>
      <w:r w:rsidRPr="00927104">
        <w:rPr>
          <w:rFonts w:eastAsia="Calibri"/>
          <w:sz w:val="16"/>
        </w:rPr>
        <w:t xml:space="preserve"> "</w:t>
      </w:r>
      <w:r w:rsidRPr="00927104">
        <w:rPr>
          <w:rStyle w:val="Emphasis"/>
        </w:rPr>
        <w:t>U</w:t>
      </w:r>
      <w:r w:rsidRPr="00927104">
        <w:rPr>
          <w:rFonts w:eastAsia="Calibri"/>
          <w:u w:val="single"/>
        </w:rPr>
        <w:t xml:space="preserve">nited </w:t>
      </w:r>
      <w:r w:rsidRPr="00927104">
        <w:rPr>
          <w:rStyle w:val="Emphasis"/>
        </w:rPr>
        <w:t>S</w:t>
      </w:r>
      <w:r w:rsidRPr="00927104">
        <w:rPr>
          <w:rFonts w:eastAsia="Calibri"/>
          <w:u w:val="single"/>
        </w:rPr>
        <w:t>tates</w:t>
      </w:r>
      <w:r w:rsidRPr="00927104">
        <w:rPr>
          <w:rFonts w:eastAsia="Calibri"/>
          <w:sz w:val="16"/>
        </w:rPr>
        <w:t xml:space="preserve">".  </w:t>
      </w:r>
      <w:r w:rsidRPr="00927104">
        <w:rPr>
          <w:rFonts w:eastAsia="Calibri"/>
          <w:u w:val="single"/>
        </w:rPr>
        <w:t>Therefore</w:t>
      </w:r>
      <w:r w:rsidRPr="00927104">
        <w:rPr>
          <w:rFonts w:eastAsia="Calibri"/>
          <w:sz w:val="16"/>
        </w:rPr>
        <w:t xml:space="preserve">, </w:t>
      </w:r>
      <w:r w:rsidRPr="00927104">
        <w:rPr>
          <w:rFonts w:eastAsia="Calibri"/>
          <w:u w:val="single"/>
        </w:rPr>
        <w:t>the</w:t>
      </w:r>
      <w:r w:rsidRPr="00927104">
        <w:rPr>
          <w:rFonts w:eastAsia="Calibri"/>
          <w:sz w:val="16"/>
        </w:rPr>
        <w:t xml:space="preserve"> "</w:t>
      </w:r>
      <w:r w:rsidRPr="00927104">
        <w:rPr>
          <w:rStyle w:val="Emphasis"/>
        </w:rPr>
        <w:t>U</w:t>
      </w:r>
      <w:r w:rsidRPr="00927104">
        <w:rPr>
          <w:rFonts w:eastAsia="Calibri"/>
          <w:u w:val="single"/>
        </w:rPr>
        <w:t xml:space="preserve">nited </w:t>
      </w:r>
      <w:r w:rsidRPr="00927104">
        <w:rPr>
          <w:rStyle w:val="Emphasis"/>
        </w:rPr>
        <w:t>S</w:t>
      </w:r>
      <w:r w:rsidRPr="00927104">
        <w:rPr>
          <w:rFonts w:eastAsia="Calibri"/>
          <w:u w:val="single"/>
        </w:rPr>
        <w:t xml:space="preserve">tates of </w:t>
      </w:r>
      <w:r w:rsidRPr="00927104">
        <w:rPr>
          <w:rStyle w:val="Emphasis"/>
        </w:rPr>
        <w:t>A</w:t>
      </w:r>
      <w:r w:rsidRPr="00927104">
        <w:rPr>
          <w:rFonts w:eastAsia="Calibri"/>
          <w:u w:val="single"/>
        </w:rPr>
        <w:t>merica</w:t>
      </w:r>
      <w:r w:rsidRPr="00927104">
        <w:rPr>
          <w:rFonts w:eastAsia="Calibri"/>
          <w:sz w:val="16"/>
        </w:rPr>
        <w:t xml:space="preserve">" now </w:t>
      </w:r>
      <w:r w:rsidRPr="00927104">
        <w:rPr>
          <w:rFonts w:eastAsia="Calibri"/>
          <w:u w:val="single"/>
        </w:rPr>
        <w:t>refer to the 50 States of the Union</w:t>
      </w:r>
      <w:r w:rsidRPr="00927104">
        <w:rPr>
          <w:rFonts w:eastAsia="Calibri"/>
          <w:sz w:val="16"/>
        </w:rPr>
        <w:t xml:space="preserve">, </w:t>
      </w:r>
      <w:r w:rsidRPr="00927104">
        <w:rPr>
          <w:rFonts w:eastAsia="Calibri"/>
          <w:u w:val="single"/>
        </w:rPr>
        <w:t>and the term</w:t>
      </w:r>
      <w:r w:rsidRPr="00927104">
        <w:rPr>
          <w:rFonts w:eastAsia="Calibri"/>
          <w:sz w:val="16"/>
        </w:rPr>
        <w:t xml:space="preserve"> "</w:t>
      </w:r>
      <w:r w:rsidRPr="00927104">
        <w:rPr>
          <w:rFonts w:eastAsia="Calibri"/>
          <w:u w:val="single"/>
        </w:rPr>
        <w:t>United States</w:t>
      </w:r>
      <w:r w:rsidRPr="00927104">
        <w:rPr>
          <w:rFonts w:eastAsia="Calibri"/>
          <w:sz w:val="16"/>
        </w:rPr>
        <w:t xml:space="preserve">" </w:t>
      </w:r>
      <w:r w:rsidRPr="00927104">
        <w:rPr>
          <w:rFonts w:eastAsia="Calibri"/>
          <w:u w:val="single"/>
        </w:rPr>
        <w:t>refers to the federal government</w:t>
      </w:r>
      <w:r w:rsidRPr="00927104">
        <w:rPr>
          <w:rFonts w:eastAsia="Calibri"/>
          <w:sz w:val="16"/>
        </w:rPr>
        <w:t xml:space="preserve">.  </w:t>
      </w:r>
      <w:r w:rsidRPr="00927104">
        <w:rPr>
          <w:rFonts w:eastAsia="Calibri"/>
          <w:u w:val="single"/>
        </w:rPr>
        <w:t>The term</w:t>
      </w:r>
      <w:r w:rsidRPr="00927104">
        <w:rPr>
          <w:rFonts w:eastAsia="Calibri"/>
          <w:sz w:val="16"/>
        </w:rPr>
        <w:t xml:space="preserve"> "</w:t>
      </w:r>
      <w:r w:rsidRPr="00927104">
        <w:rPr>
          <w:rStyle w:val="Emphasis"/>
        </w:rPr>
        <w:t>U</w:t>
      </w:r>
      <w:r w:rsidRPr="00927104">
        <w:rPr>
          <w:rFonts w:eastAsia="Calibri"/>
          <w:u w:val="single"/>
        </w:rPr>
        <w:t xml:space="preserve">nited </w:t>
      </w:r>
      <w:r w:rsidRPr="00927104">
        <w:rPr>
          <w:rStyle w:val="Emphasis"/>
        </w:rPr>
        <w:t>S</w:t>
      </w:r>
      <w:r w:rsidRPr="00927104">
        <w:rPr>
          <w:rFonts w:eastAsia="Calibri"/>
          <w:u w:val="single"/>
        </w:rPr>
        <w:t>tates</w:t>
      </w:r>
      <w:r w:rsidRPr="00927104">
        <w:rPr>
          <w:rFonts w:eastAsia="Calibri"/>
          <w:sz w:val="16"/>
        </w:rPr>
        <w:t xml:space="preserve">" is the term that </w:t>
      </w:r>
      <w:r w:rsidRPr="00927104">
        <w:rPr>
          <w:rFonts w:eastAsia="Calibri"/>
          <w:u w:val="single"/>
        </w:rPr>
        <w:t>is used consistently</w:t>
      </w:r>
      <w:r w:rsidRPr="00927104">
        <w:rPr>
          <w:rFonts w:eastAsia="Calibri"/>
          <w:sz w:val="16"/>
        </w:rPr>
        <w:t xml:space="preserve"> now </w:t>
      </w:r>
      <w:r w:rsidRPr="00927104">
        <w:rPr>
          <w:rFonts w:eastAsia="Calibri"/>
          <w:u w:val="single"/>
        </w:rPr>
        <w:t xml:space="preserve">throughout </w:t>
      </w:r>
      <w:r w:rsidRPr="00927104">
        <w:rPr>
          <w:rStyle w:val="Emphasis"/>
        </w:rPr>
        <w:t>Title 28</w:t>
      </w:r>
      <w:r w:rsidRPr="00927104">
        <w:rPr>
          <w:rFonts w:eastAsia="Calibri"/>
          <w:u w:val="single"/>
        </w:rPr>
        <w:t xml:space="preserve"> to refer to the federal government</w:t>
      </w:r>
      <w:r w:rsidRPr="00927104">
        <w:rPr>
          <w:rFonts w:eastAsia="Calibri"/>
          <w:sz w:val="16"/>
        </w:rPr>
        <w:t xml:space="preserve"> domiciled </w:t>
      </w:r>
      <w:r w:rsidRPr="00927104">
        <w:rPr>
          <w:rFonts w:eastAsia="Calibri"/>
          <w:u w:val="single"/>
        </w:rPr>
        <w:t xml:space="preserve">in </w:t>
      </w:r>
      <w:r w:rsidRPr="00927104">
        <w:rPr>
          <w:rStyle w:val="Emphasis"/>
        </w:rPr>
        <w:t>D</w:t>
      </w:r>
      <w:r w:rsidRPr="00927104">
        <w:rPr>
          <w:rFonts w:eastAsia="Calibri"/>
          <w:sz w:val="16"/>
        </w:rPr>
        <w:t>.</w:t>
      </w:r>
      <w:r w:rsidRPr="00927104">
        <w:rPr>
          <w:rStyle w:val="Emphasis"/>
        </w:rPr>
        <w:t>C</w:t>
      </w:r>
      <w:r w:rsidRPr="00927104">
        <w:rPr>
          <w:rFonts w:eastAsia="Calibri"/>
          <w:sz w:val="16"/>
        </w:rPr>
        <w:t xml:space="preserve">. There is only ONE PLACE in all of Title 28 where the term "United States of America" is used, and there it is used in correct contradistinction to "United States": </w:t>
      </w:r>
      <w:proofErr w:type="gramStart"/>
      <w:r w:rsidRPr="00927104">
        <w:rPr>
          <w:rFonts w:eastAsia="Calibri"/>
          <w:sz w:val="16"/>
        </w:rPr>
        <w:t>http://www.law.cornell.edu/uscode/28/1746.html  Because</w:t>
      </w:r>
      <w:proofErr w:type="gramEnd"/>
      <w:r w:rsidRPr="00927104">
        <w:rPr>
          <w:rFonts w:eastAsia="Calibri"/>
          <w:sz w:val="16"/>
        </w:rPr>
        <w:t xml:space="preserve"> </w:t>
      </w:r>
      <w:r w:rsidRPr="00927104">
        <w:rPr>
          <w:rFonts w:eastAsia="Calibri"/>
          <w:u w:val="single"/>
        </w:rPr>
        <w:t xml:space="preserve">Title 28 contains statutes which govern </w:t>
      </w:r>
      <w:r w:rsidRPr="00927104">
        <w:rPr>
          <w:rStyle w:val="Emphasis"/>
        </w:rPr>
        <w:t>all federal courts</w:t>
      </w:r>
      <w:r w:rsidRPr="00927104">
        <w:rPr>
          <w:rFonts w:eastAsia="Calibri"/>
          <w:sz w:val="16"/>
        </w:rPr>
        <w:t xml:space="preserve">, the </w:t>
      </w:r>
      <w:r w:rsidRPr="00927104">
        <w:rPr>
          <w:rFonts w:eastAsia="Calibri"/>
          <w:u w:val="single"/>
        </w:rPr>
        <w:t>consistent use of</w:t>
      </w:r>
      <w:r w:rsidRPr="00927104">
        <w:rPr>
          <w:rFonts w:eastAsia="Calibri"/>
          <w:sz w:val="16"/>
        </w:rPr>
        <w:t xml:space="preserve"> "</w:t>
      </w:r>
      <w:r w:rsidRPr="00927104">
        <w:rPr>
          <w:rFonts w:eastAsia="Calibri"/>
          <w:u w:val="single"/>
        </w:rPr>
        <w:t>United States</w:t>
      </w:r>
      <w:r w:rsidRPr="00927104">
        <w:rPr>
          <w:rFonts w:eastAsia="Calibri"/>
          <w:sz w:val="16"/>
        </w:rPr>
        <w:t xml:space="preserve">" </w:t>
      </w:r>
      <w:r w:rsidRPr="00927104">
        <w:rPr>
          <w:rFonts w:eastAsia="Calibri"/>
          <w:u w:val="single"/>
        </w:rPr>
        <w:t>to refer to the federal government carries enormous weight</w:t>
      </w:r>
      <w:r w:rsidRPr="00927104">
        <w:rPr>
          <w:rFonts w:eastAsia="Calibri"/>
          <w:sz w:val="16"/>
        </w:rPr>
        <w:t xml:space="preserve">. Title 28 is the latest word on this subject, as revised, codified and enacted into positive law on June 25, 1948. Moreover, the Supremacy Clause elevates </w:t>
      </w:r>
      <w:r w:rsidRPr="00927104">
        <w:rPr>
          <w:rStyle w:val="StyleUnderline"/>
        </w:rPr>
        <w:t>Title 28</w:t>
      </w:r>
      <w:r w:rsidRPr="00927104">
        <w:rPr>
          <w:rFonts w:eastAsia="Calibri"/>
          <w:sz w:val="16"/>
        </w:rPr>
        <w:t xml:space="preserve"> to </w:t>
      </w:r>
      <w:r w:rsidRPr="00927104">
        <w:rPr>
          <w:rStyle w:val="StyleUnderline"/>
        </w:rPr>
        <w:t xml:space="preserve">the status of supreme </w:t>
      </w:r>
      <w:r w:rsidRPr="00927104">
        <w:rPr>
          <w:rStyle w:val="Emphasis"/>
        </w:rPr>
        <w:t>Law of the Land</w:t>
      </w:r>
      <w:r w:rsidRPr="00927104">
        <w:rPr>
          <w:rFonts w:eastAsia="Calibri"/>
          <w:sz w:val="16"/>
        </w:rPr>
        <w:t>.</w:t>
      </w:r>
    </w:p>
    <w:p w14:paraId="428999F7" w14:textId="77777777" w:rsidR="00E96A1C" w:rsidRPr="00927104" w:rsidRDefault="00E96A1C" w:rsidP="00E96A1C"/>
    <w:p w14:paraId="12AE8EBC" w14:textId="0A090122" w:rsidR="00575345" w:rsidRPr="00927104" w:rsidRDefault="00575345" w:rsidP="00575345">
      <w:pPr>
        <w:pStyle w:val="Heading3"/>
        <w:rPr>
          <w:rFonts w:cs="Arial"/>
        </w:rPr>
      </w:pPr>
      <w:r w:rsidRPr="00927104">
        <w:rPr>
          <w:rFonts w:cs="Arial"/>
        </w:rPr>
        <w:lastRenderedPageBreak/>
        <w:t>us = states</w:t>
      </w:r>
    </w:p>
    <w:p w14:paraId="4DA66AD5" w14:textId="34480CB5" w:rsidR="00575345" w:rsidRPr="00927104" w:rsidRDefault="00B52BE3" w:rsidP="00575345">
      <w:pPr>
        <w:pStyle w:val="Heading4"/>
        <w:rPr>
          <w:rFonts w:cs="Arial"/>
        </w:rPr>
      </w:pPr>
      <w:r w:rsidRPr="00927104">
        <w:rPr>
          <w:rFonts w:cs="Arial"/>
        </w:rPr>
        <w:t>‘</w:t>
      </w:r>
      <w:r w:rsidR="00575345" w:rsidRPr="00927104">
        <w:rPr>
          <w:rFonts w:cs="Arial"/>
        </w:rPr>
        <w:t>United States</w:t>
      </w:r>
      <w:r w:rsidR="000F7B62" w:rsidRPr="00927104">
        <w:rPr>
          <w:rFonts w:cs="Arial"/>
        </w:rPr>
        <w:t>’</w:t>
      </w:r>
      <w:r w:rsidR="00575345" w:rsidRPr="00927104">
        <w:rPr>
          <w:rFonts w:cs="Arial"/>
        </w:rPr>
        <w:t xml:space="preserve"> means the </w:t>
      </w:r>
      <w:r w:rsidR="00575345" w:rsidRPr="00927104">
        <w:rPr>
          <w:rFonts w:cs="Arial"/>
          <w:u w:val="single"/>
        </w:rPr>
        <w:t>50 states</w:t>
      </w:r>
      <w:r w:rsidR="00575345" w:rsidRPr="00927104">
        <w:rPr>
          <w:rFonts w:cs="Arial"/>
        </w:rPr>
        <w:t>.</w:t>
      </w:r>
    </w:p>
    <w:p w14:paraId="045D517D" w14:textId="18FCDBC4" w:rsidR="00575345" w:rsidRPr="00927104" w:rsidRDefault="00575345" w:rsidP="00575345">
      <w:r w:rsidRPr="00927104">
        <w:rPr>
          <w:rStyle w:val="Style13ptBold"/>
        </w:rPr>
        <w:t>LII ’ND</w:t>
      </w:r>
      <w:r w:rsidRPr="00927104">
        <w:t xml:space="preserve"> [Legal Information Institute. “7 U.S. Code § 2116 — Definitions.” https://www.law.cornell.edu/uscode/text/7/2116]</w:t>
      </w:r>
      <w:r w:rsidR="009B2634" w:rsidRPr="00927104">
        <w:t xml:space="preserve"> TDI</w:t>
      </w:r>
    </w:p>
    <w:p w14:paraId="0B0BCF4D" w14:textId="77777777" w:rsidR="00575345" w:rsidRPr="00927104" w:rsidRDefault="00575345" w:rsidP="00767D66">
      <w:pPr>
        <w:rPr>
          <w:sz w:val="16"/>
        </w:rPr>
      </w:pPr>
      <w:r w:rsidRPr="00927104">
        <w:rPr>
          <w:sz w:val="16"/>
        </w:rPr>
        <w:t xml:space="preserve">(e)The </w:t>
      </w:r>
      <w:r w:rsidRPr="00927104">
        <w:rPr>
          <w:rStyle w:val="StyleUnderline"/>
        </w:rPr>
        <w:t>term</w:t>
      </w:r>
      <w:r w:rsidRPr="00927104">
        <w:rPr>
          <w:sz w:val="16"/>
        </w:rPr>
        <w:t xml:space="preserve"> “</w:t>
      </w:r>
      <w:r w:rsidRPr="00927104">
        <w:rPr>
          <w:rStyle w:val="Emphasis"/>
        </w:rPr>
        <w:t>U</w:t>
      </w:r>
      <w:r w:rsidRPr="00927104">
        <w:rPr>
          <w:rStyle w:val="StyleUnderline"/>
        </w:rPr>
        <w:t xml:space="preserve">nited </w:t>
      </w:r>
      <w:r w:rsidRPr="00927104">
        <w:rPr>
          <w:rStyle w:val="Emphasis"/>
        </w:rPr>
        <w:t>S</w:t>
      </w:r>
      <w:r w:rsidRPr="00927104">
        <w:rPr>
          <w:rStyle w:val="StyleUnderline"/>
        </w:rPr>
        <w:t>tates</w:t>
      </w:r>
      <w:r w:rsidRPr="00927104">
        <w:rPr>
          <w:sz w:val="16"/>
        </w:rPr>
        <w:t xml:space="preserve">” </w:t>
      </w:r>
      <w:r w:rsidRPr="00927104">
        <w:rPr>
          <w:rStyle w:val="StyleUnderline"/>
        </w:rPr>
        <w:t xml:space="preserve">means the </w:t>
      </w:r>
      <w:r w:rsidRPr="00927104">
        <w:rPr>
          <w:rStyle w:val="Emphasis"/>
        </w:rPr>
        <w:t>50 States</w:t>
      </w:r>
      <w:r w:rsidRPr="00927104">
        <w:rPr>
          <w:rStyle w:val="StyleUnderline"/>
        </w:rPr>
        <w:t xml:space="preserve"> of the United States of America</w:t>
      </w:r>
      <w:r w:rsidRPr="00927104">
        <w:rPr>
          <w:sz w:val="16"/>
        </w:rPr>
        <w:t>.</w:t>
      </w:r>
    </w:p>
    <w:p w14:paraId="6A3F1FA9" w14:textId="77777777" w:rsidR="00575345" w:rsidRPr="00927104" w:rsidRDefault="00575345" w:rsidP="00E96A1C">
      <w:pPr>
        <w:rPr>
          <w:sz w:val="14"/>
        </w:rPr>
      </w:pPr>
    </w:p>
    <w:p w14:paraId="112C94DA" w14:textId="4860B8B1" w:rsidR="00632B58" w:rsidRPr="00927104" w:rsidRDefault="00632B58" w:rsidP="00632B58">
      <w:pPr>
        <w:pStyle w:val="Heading2"/>
      </w:pPr>
      <w:r w:rsidRPr="00927104">
        <w:lastRenderedPageBreak/>
        <w:t>ought</w:t>
      </w:r>
    </w:p>
    <w:p w14:paraId="54E42930" w14:textId="69A4A318" w:rsidR="00632B58" w:rsidRPr="00927104" w:rsidRDefault="00632B58" w:rsidP="00632B58">
      <w:pPr>
        <w:pStyle w:val="Heading3"/>
      </w:pPr>
      <w:r w:rsidRPr="00927104">
        <w:lastRenderedPageBreak/>
        <w:t>ought</w:t>
      </w:r>
      <w:r w:rsidR="00F03966" w:rsidRPr="00927104">
        <w:t xml:space="preserve"> = desirability</w:t>
      </w:r>
    </w:p>
    <w:p w14:paraId="78814588" w14:textId="5B4AEB3F" w:rsidR="00805EA3" w:rsidRPr="00927104" w:rsidRDefault="00805EA3" w:rsidP="00805EA3">
      <w:pPr>
        <w:pStyle w:val="Heading4"/>
      </w:pPr>
      <w:proofErr w:type="gramStart"/>
      <w:r w:rsidRPr="00927104">
        <w:t xml:space="preserve">‘Ought’ </w:t>
      </w:r>
      <w:r w:rsidR="009501B0" w:rsidRPr="00927104">
        <w:t>means</w:t>
      </w:r>
      <w:proofErr w:type="gramEnd"/>
      <w:r w:rsidRPr="00927104">
        <w:t xml:space="preserve"> </w:t>
      </w:r>
      <w:r w:rsidRPr="00927104">
        <w:rPr>
          <w:u w:val="single"/>
        </w:rPr>
        <w:t>desirability</w:t>
      </w:r>
      <w:r w:rsidRPr="00927104">
        <w:t xml:space="preserve"> of action.</w:t>
      </w:r>
    </w:p>
    <w:p w14:paraId="25160EA9" w14:textId="77E5449B" w:rsidR="00E340F6" w:rsidRPr="00927104" w:rsidRDefault="00E340F6" w:rsidP="00E340F6">
      <w:r w:rsidRPr="00927104">
        <w:rPr>
          <w:rStyle w:val="Style13ptBold"/>
        </w:rPr>
        <w:t xml:space="preserve">Cambridge </w:t>
      </w:r>
      <w:r w:rsidR="00050415" w:rsidRPr="00927104">
        <w:rPr>
          <w:rStyle w:val="Style13ptBold"/>
        </w:rPr>
        <w:t>’</w:t>
      </w:r>
      <w:r w:rsidRPr="00927104">
        <w:rPr>
          <w:rStyle w:val="Style13ptBold"/>
        </w:rPr>
        <w:t>ND</w:t>
      </w:r>
      <w:r w:rsidRPr="00927104">
        <w:t xml:space="preserve"> [</w:t>
      </w:r>
      <w:r w:rsidR="00126CCB" w:rsidRPr="00927104">
        <w:t xml:space="preserve">“ought.” </w:t>
      </w:r>
      <w:r w:rsidR="00631000" w:rsidRPr="00927104">
        <w:t>https://dictionary.cambridge.org/us/dictionary/english/ought]</w:t>
      </w:r>
      <w:r w:rsidR="008F07C6" w:rsidRPr="00927104">
        <w:t xml:space="preserve"> TDI</w:t>
      </w:r>
    </w:p>
    <w:p w14:paraId="47850C5F" w14:textId="705E9B86" w:rsidR="00632B58" w:rsidRPr="00927104" w:rsidRDefault="00632B58" w:rsidP="00632B58">
      <w:pPr>
        <w:rPr>
          <w:sz w:val="16"/>
        </w:rPr>
      </w:pPr>
      <w:r w:rsidRPr="00927104">
        <w:rPr>
          <w:sz w:val="16"/>
        </w:rPr>
        <w:t xml:space="preserve">used to </w:t>
      </w:r>
      <w:r w:rsidRPr="00927104">
        <w:rPr>
          <w:rStyle w:val="StyleUnderline"/>
        </w:rPr>
        <w:t>say</w:t>
      </w:r>
      <w:r w:rsidRPr="00927104">
        <w:rPr>
          <w:sz w:val="16"/>
        </w:rPr>
        <w:t xml:space="preserve"> that </w:t>
      </w:r>
      <w:r w:rsidRPr="00927104">
        <w:rPr>
          <w:rStyle w:val="StyleUnderline"/>
        </w:rPr>
        <w:t xml:space="preserve">it is </w:t>
      </w:r>
      <w:r w:rsidRPr="00927104">
        <w:rPr>
          <w:rStyle w:val="Emphasis"/>
        </w:rPr>
        <w:t>necessary or desirable</w:t>
      </w:r>
      <w:r w:rsidRPr="00927104">
        <w:rPr>
          <w:rStyle w:val="StyleUnderline"/>
        </w:rPr>
        <w:t xml:space="preserve"> to </w:t>
      </w:r>
      <w:r w:rsidRPr="00927104">
        <w:rPr>
          <w:rStyle w:val="Emphasis"/>
        </w:rPr>
        <w:t>perform the action</w:t>
      </w:r>
      <w:r w:rsidRPr="00927104">
        <w:rPr>
          <w:rStyle w:val="StyleUnderline"/>
        </w:rPr>
        <w:t xml:space="preserve"> expressed in the verb</w:t>
      </w:r>
      <w:r w:rsidRPr="00927104">
        <w:rPr>
          <w:sz w:val="16"/>
        </w:rPr>
        <w:t>:</w:t>
      </w:r>
    </w:p>
    <w:p w14:paraId="2FE19E0C" w14:textId="77777777" w:rsidR="00232DAC" w:rsidRPr="00927104" w:rsidRDefault="00232DAC" w:rsidP="00632B58">
      <w:pPr>
        <w:rPr>
          <w:sz w:val="16"/>
        </w:rPr>
      </w:pPr>
    </w:p>
    <w:p w14:paraId="24155ADF" w14:textId="11BDDAC2" w:rsidR="00B21399" w:rsidRPr="00927104" w:rsidRDefault="00B21399" w:rsidP="00B21399">
      <w:pPr>
        <w:pStyle w:val="Heading2"/>
      </w:pPr>
      <w:r w:rsidRPr="00927104">
        <w:lastRenderedPageBreak/>
        <w:t>to</w:t>
      </w:r>
    </w:p>
    <w:p w14:paraId="6AEE99B0" w14:textId="7DE420EE" w:rsidR="00B21399" w:rsidRPr="00927104" w:rsidRDefault="00730EF8" w:rsidP="00730EF8">
      <w:pPr>
        <w:pStyle w:val="Heading3"/>
      </w:pPr>
      <w:r w:rsidRPr="00927104">
        <w:lastRenderedPageBreak/>
        <w:t>to = object</w:t>
      </w:r>
    </w:p>
    <w:p w14:paraId="1E1E8651" w14:textId="77777777" w:rsidR="00D318DC" w:rsidRPr="00927104" w:rsidRDefault="000559A4" w:rsidP="000559A4">
      <w:pPr>
        <w:pStyle w:val="Heading4"/>
      </w:pPr>
      <w:r w:rsidRPr="00927104">
        <w:t xml:space="preserve">‘To’ indicates the </w:t>
      </w:r>
      <w:r w:rsidRPr="00927104">
        <w:rPr>
          <w:u w:val="single"/>
        </w:rPr>
        <w:t>action</w:t>
      </w:r>
      <w:r w:rsidRPr="00927104">
        <w:t xml:space="preserve"> that ought to be taken.</w:t>
      </w:r>
    </w:p>
    <w:p w14:paraId="00508162" w14:textId="6C62B631" w:rsidR="000559A4" w:rsidRPr="00927104" w:rsidRDefault="00D318DC" w:rsidP="0063381D">
      <w:r w:rsidRPr="00927104">
        <w:rPr>
          <w:rStyle w:val="Style13ptBold"/>
        </w:rPr>
        <w:t xml:space="preserve">Meriam Webster </w:t>
      </w:r>
      <w:r w:rsidR="00C9578E" w:rsidRPr="00927104">
        <w:rPr>
          <w:rStyle w:val="Style13ptBold"/>
        </w:rPr>
        <w:t>’</w:t>
      </w:r>
      <w:r w:rsidRPr="00927104">
        <w:rPr>
          <w:rStyle w:val="Style13ptBold"/>
        </w:rPr>
        <w:t>ND</w:t>
      </w:r>
      <w:r w:rsidR="006F4804" w:rsidRPr="00927104">
        <w:t xml:space="preserve"> [</w:t>
      </w:r>
      <w:r w:rsidR="00944975" w:rsidRPr="00927104">
        <w:t xml:space="preserve">“to.” </w:t>
      </w:r>
      <w:r w:rsidR="008E28E0" w:rsidRPr="00927104">
        <w:t>https://www.merriam-webster.com/dictionary/to</w:t>
      </w:r>
      <w:r w:rsidR="006F4804" w:rsidRPr="00927104">
        <w:t>]</w:t>
      </w:r>
      <w:r w:rsidR="003E6E77" w:rsidRPr="00927104">
        <w:t xml:space="preserve"> TDI</w:t>
      </w:r>
    </w:p>
    <w:p w14:paraId="55F02E68" w14:textId="7A861928" w:rsidR="00730EF8" w:rsidRPr="00927104" w:rsidRDefault="00730EF8" w:rsidP="00730EF8">
      <w:r w:rsidRPr="00927104">
        <w:rPr>
          <w:rStyle w:val="StyleUnderline"/>
        </w:rPr>
        <w:t xml:space="preserve">used as a </w:t>
      </w:r>
      <w:r w:rsidRPr="00927104">
        <w:rPr>
          <w:rStyle w:val="Emphasis"/>
        </w:rPr>
        <w:t>function word</w:t>
      </w:r>
      <w:r w:rsidRPr="00927104">
        <w:rPr>
          <w:rStyle w:val="StyleUnderline"/>
        </w:rPr>
        <w:t xml:space="preserve"> to indicate purpose</w:t>
      </w:r>
      <w:r w:rsidRPr="00927104">
        <w:t xml:space="preserve">, </w:t>
      </w:r>
      <w:r w:rsidRPr="00927104">
        <w:rPr>
          <w:rStyle w:val="StyleUnderline"/>
        </w:rPr>
        <w:t>intention</w:t>
      </w:r>
      <w:r w:rsidRPr="00927104">
        <w:t xml:space="preserve">, </w:t>
      </w:r>
      <w:r w:rsidRPr="00927104">
        <w:rPr>
          <w:rStyle w:val="StyleUnderline"/>
        </w:rPr>
        <w:t>tendency</w:t>
      </w:r>
      <w:r w:rsidRPr="00927104">
        <w:t xml:space="preserve">, </w:t>
      </w:r>
      <w:r w:rsidRPr="00927104">
        <w:rPr>
          <w:rStyle w:val="StyleUnderline"/>
        </w:rPr>
        <w:t>result</w:t>
      </w:r>
      <w:r w:rsidRPr="00927104">
        <w:t xml:space="preserve">, </w:t>
      </w:r>
      <w:r w:rsidRPr="00927104">
        <w:rPr>
          <w:rStyle w:val="StyleUnderline"/>
        </w:rPr>
        <w:t xml:space="preserve">or </w:t>
      </w:r>
      <w:r w:rsidRPr="00927104">
        <w:rPr>
          <w:rStyle w:val="Emphasis"/>
        </w:rPr>
        <w:t>end</w:t>
      </w:r>
    </w:p>
    <w:p w14:paraId="7DA95B2D" w14:textId="77777777" w:rsidR="009011F8" w:rsidRPr="00927104" w:rsidRDefault="009011F8" w:rsidP="00730EF8"/>
    <w:p w14:paraId="38B24603" w14:textId="1E17BA41" w:rsidR="001B0340" w:rsidRPr="00927104" w:rsidRDefault="001B0340" w:rsidP="001B0340">
      <w:pPr>
        <w:pStyle w:val="Heading2"/>
      </w:pPr>
      <w:r w:rsidRPr="00927104">
        <w:lastRenderedPageBreak/>
        <w:t>remove</w:t>
      </w:r>
    </w:p>
    <w:p w14:paraId="2953CE87" w14:textId="630EC672" w:rsidR="001119F7" w:rsidRPr="00927104" w:rsidRDefault="001119F7" w:rsidP="001119F7">
      <w:pPr>
        <w:pStyle w:val="Heading3"/>
      </w:pPr>
      <w:r w:rsidRPr="00927104">
        <w:lastRenderedPageBreak/>
        <w:t>remove = eliminate</w:t>
      </w:r>
    </w:p>
    <w:p w14:paraId="37BE6250" w14:textId="23D3798A" w:rsidR="002F717E" w:rsidRPr="00927104" w:rsidRDefault="002F717E" w:rsidP="002F717E">
      <w:pPr>
        <w:pStyle w:val="Heading4"/>
      </w:pPr>
      <w:r w:rsidRPr="00927104">
        <w:t xml:space="preserve">‘Remove’ means to </w:t>
      </w:r>
      <w:r w:rsidRPr="00927104">
        <w:rPr>
          <w:u w:val="single"/>
        </w:rPr>
        <w:t>get rid of</w:t>
      </w:r>
      <w:r w:rsidRPr="00927104">
        <w:t>.</w:t>
      </w:r>
    </w:p>
    <w:p w14:paraId="0256ADD3" w14:textId="543A3172" w:rsidR="0096102C" w:rsidRPr="00927104" w:rsidRDefault="002B545A" w:rsidP="0096102C">
      <w:r w:rsidRPr="00927104">
        <w:rPr>
          <w:rStyle w:val="Style13ptBold"/>
        </w:rPr>
        <w:t xml:space="preserve">Meriam Webster </w:t>
      </w:r>
      <w:r w:rsidR="00F44A10" w:rsidRPr="00927104">
        <w:rPr>
          <w:rStyle w:val="Style13ptBold"/>
        </w:rPr>
        <w:t>’</w:t>
      </w:r>
      <w:r w:rsidRPr="00927104">
        <w:rPr>
          <w:rStyle w:val="Style13ptBold"/>
        </w:rPr>
        <w:t>ND</w:t>
      </w:r>
      <w:r w:rsidRPr="00927104">
        <w:t xml:space="preserve"> [</w:t>
      </w:r>
      <w:r w:rsidR="00C45B37" w:rsidRPr="00927104">
        <w:t>“</w:t>
      </w:r>
      <w:r w:rsidRPr="00927104">
        <w:t>remove</w:t>
      </w:r>
      <w:r w:rsidR="00C45B37" w:rsidRPr="00927104">
        <w:t>.”</w:t>
      </w:r>
      <w:r w:rsidR="006D4329" w:rsidRPr="00927104">
        <w:t xml:space="preserve"> </w:t>
      </w:r>
      <w:r w:rsidR="00E4372C" w:rsidRPr="00927104">
        <w:t>https://www.merriam-webster.com/dictionary/remove</w:t>
      </w:r>
      <w:r w:rsidRPr="00927104">
        <w:t>]</w:t>
      </w:r>
      <w:r w:rsidR="0079050B" w:rsidRPr="00927104">
        <w:t xml:space="preserve"> TDI</w:t>
      </w:r>
    </w:p>
    <w:p w14:paraId="347FBD8B" w14:textId="58D61D72" w:rsidR="001B0340" w:rsidRPr="00927104" w:rsidRDefault="001119F7" w:rsidP="001B0340">
      <w:pPr>
        <w:rPr>
          <w:rStyle w:val="Emphasis"/>
        </w:rPr>
      </w:pPr>
      <w:r w:rsidRPr="00927104">
        <w:rPr>
          <w:rStyle w:val="StyleUnderline"/>
        </w:rPr>
        <w:t>to get rid of</w:t>
      </w:r>
      <w:r w:rsidRPr="00927104">
        <w:t xml:space="preserve">: </w:t>
      </w:r>
      <w:r w:rsidRPr="00927104">
        <w:rPr>
          <w:rStyle w:val="Emphasis"/>
        </w:rPr>
        <w:t>ELIMINATE</w:t>
      </w:r>
    </w:p>
    <w:p w14:paraId="2568C153" w14:textId="77777777" w:rsidR="00340131" w:rsidRDefault="00340131" w:rsidP="001B0340"/>
    <w:p w14:paraId="5CBD33BC" w14:textId="77777777" w:rsidR="00C07FAA" w:rsidRDefault="00C07FAA" w:rsidP="00C07FAA">
      <w:pPr>
        <w:pStyle w:val="Heading3"/>
      </w:pPr>
      <w:r>
        <w:lastRenderedPageBreak/>
        <w:t>remove = permanent</w:t>
      </w:r>
    </w:p>
    <w:p w14:paraId="6176972D" w14:textId="77777777" w:rsidR="00C07FAA" w:rsidRPr="00363923" w:rsidRDefault="00C07FAA" w:rsidP="00C07FAA">
      <w:pPr>
        <w:pStyle w:val="Heading4"/>
        <w:rPr>
          <w:rStyle w:val="Style13ptBold"/>
          <w:b/>
          <w:bCs w:val="0"/>
        </w:rPr>
      </w:pPr>
      <w:r w:rsidRPr="00363923">
        <w:rPr>
          <w:rStyle w:val="Style13ptBold"/>
          <w:b/>
          <w:bCs w:val="0"/>
        </w:rPr>
        <w:t xml:space="preserve">Remove means </w:t>
      </w:r>
      <w:r w:rsidRPr="00A26EAB">
        <w:rPr>
          <w:rStyle w:val="Style13ptBold"/>
          <w:b/>
          <w:bCs w:val="0"/>
        </w:rPr>
        <w:t>eliminate</w:t>
      </w:r>
      <w:r w:rsidRPr="00363923">
        <w:rPr>
          <w:rStyle w:val="Style13ptBold"/>
          <w:b/>
          <w:bCs w:val="0"/>
        </w:rPr>
        <w:t xml:space="preserve"> &amp; must be </w:t>
      </w:r>
      <w:r w:rsidRPr="005D2FF4">
        <w:rPr>
          <w:rStyle w:val="Style13ptBold"/>
          <w:b/>
          <w:bCs w:val="0"/>
        </w:rPr>
        <w:t>permanent</w:t>
      </w:r>
      <w:r w:rsidRPr="00363923">
        <w:rPr>
          <w:rStyle w:val="Style13ptBold"/>
          <w:b/>
          <w:bCs w:val="0"/>
        </w:rPr>
        <w:t>.</w:t>
      </w:r>
    </w:p>
    <w:p w14:paraId="1D92780F" w14:textId="77777777" w:rsidR="00C07FAA" w:rsidRDefault="00C07FAA" w:rsidP="00C07FAA">
      <w:r w:rsidRPr="00950486">
        <w:rPr>
          <w:rStyle w:val="Style13ptBold"/>
        </w:rPr>
        <w:t xml:space="preserve">Kyle </w:t>
      </w:r>
      <w:r>
        <w:rPr>
          <w:rStyle w:val="Style13ptBold"/>
        </w:rPr>
        <w:t>’</w:t>
      </w:r>
      <w:r w:rsidRPr="00950486">
        <w:rPr>
          <w:rStyle w:val="Style13ptBold"/>
        </w:rPr>
        <w:t>10</w:t>
      </w:r>
      <w:r>
        <w:t xml:space="preserve"> [Richard; </w:t>
      </w:r>
      <w:r w:rsidRPr="00950486">
        <w:t>United States district judge</w:t>
      </w:r>
      <w:r>
        <w:t xml:space="preserve">, </w:t>
      </w:r>
      <w:r w:rsidRPr="00950486">
        <w:t>United States District Court for the District of Minnesota. “</w:t>
      </w:r>
      <w:proofErr w:type="spellStart"/>
      <w:r w:rsidRPr="00950486">
        <w:t>Buetow</w:t>
      </w:r>
      <w:proofErr w:type="spellEnd"/>
      <w:r w:rsidRPr="00950486">
        <w:t xml:space="preserve"> v. A.L.S. Enterprises, Inc.” United States District Court, D. Minnesota. 5-13-2010. 713 F. Supp. 2d 832 (D. Minn. 2010)</w:t>
      </w:r>
      <w:r>
        <w:t>] TDI</w:t>
      </w:r>
    </w:p>
    <w:p w14:paraId="1714A1B5" w14:textId="77777777" w:rsidR="00C07FAA" w:rsidRPr="00363923" w:rsidRDefault="00C07FAA" w:rsidP="00C07FAA">
      <w:pPr>
        <w:rPr>
          <w:sz w:val="16"/>
        </w:rPr>
      </w:pPr>
      <w:r w:rsidRPr="00363923">
        <w:rPr>
          <w:sz w:val="16"/>
        </w:rPr>
        <w:t>The word "</w:t>
      </w:r>
      <w:r w:rsidRPr="00385089">
        <w:rPr>
          <w:rStyle w:val="Emphasis"/>
        </w:rPr>
        <w:t>eliminate</w:t>
      </w:r>
      <w:r w:rsidRPr="00363923">
        <w:rPr>
          <w:sz w:val="16"/>
        </w:rPr>
        <w:t xml:space="preserve">" is </w:t>
      </w:r>
      <w:r w:rsidRPr="00363923">
        <w:rPr>
          <w:rStyle w:val="StyleUnderline"/>
        </w:rPr>
        <w:t xml:space="preserve">subject to </w:t>
      </w:r>
      <w:r w:rsidRPr="00363923">
        <w:rPr>
          <w:rStyle w:val="Emphasis"/>
        </w:rPr>
        <w:t>only one reasonable interpretation</w:t>
      </w:r>
      <w:r w:rsidRPr="00363923">
        <w:rPr>
          <w:sz w:val="16"/>
        </w:rPr>
        <w:t xml:space="preserve"> — </w:t>
      </w:r>
      <w:r w:rsidRPr="00363923">
        <w:rPr>
          <w:rStyle w:val="Emphasis"/>
        </w:rPr>
        <w:t>complete elimination</w:t>
      </w:r>
      <w:r w:rsidRPr="00363923">
        <w:rPr>
          <w:sz w:val="16"/>
        </w:rPr>
        <w:t>. In determining the meaning of challenged advertisements, a court may reference dictionary definitions. See Am. Italian Pasta Co. v. New World Pasta Co., 371 F.3d 387, 391 (8th Cir. 2004) (referencing a dictionary definition of "favorite"). The Compact Oxford English Dictionary provides that the word "</w:t>
      </w:r>
      <w:r w:rsidRPr="00DD481B">
        <w:rPr>
          <w:rStyle w:val="StyleUnderline"/>
        </w:rPr>
        <w:t>eliminate</w:t>
      </w:r>
      <w:r w:rsidRPr="00363923">
        <w:rPr>
          <w:sz w:val="16"/>
        </w:rPr>
        <w:t xml:space="preserve">" </w:t>
      </w:r>
      <w:r w:rsidRPr="00363923">
        <w:rPr>
          <w:rStyle w:val="StyleUnderline"/>
        </w:rPr>
        <w:t>means</w:t>
      </w:r>
      <w:r w:rsidRPr="00363923">
        <w:rPr>
          <w:sz w:val="16"/>
        </w:rPr>
        <w:t xml:space="preserve"> "[</w:t>
      </w:r>
      <w:r w:rsidRPr="00363923">
        <w:rPr>
          <w:rStyle w:val="StyleUnderline"/>
        </w:rPr>
        <w:t>t</w:t>
      </w:r>
      <w:r w:rsidRPr="00363923">
        <w:rPr>
          <w:sz w:val="16"/>
        </w:rPr>
        <w:t>]</w:t>
      </w:r>
      <w:r w:rsidRPr="00363923">
        <w:rPr>
          <w:rStyle w:val="StyleUnderline"/>
        </w:rPr>
        <w:t>o</w:t>
      </w:r>
      <w:r w:rsidRPr="00363923">
        <w:rPr>
          <w:sz w:val="16"/>
        </w:rPr>
        <w:t xml:space="preserve"> expel, exclude, </w:t>
      </w:r>
      <w:r w:rsidRPr="00363923">
        <w:rPr>
          <w:rStyle w:val="Emphasis"/>
        </w:rPr>
        <w:t>remove</w:t>
      </w:r>
      <w:r w:rsidRPr="00363923">
        <w:rPr>
          <w:sz w:val="16"/>
        </w:rPr>
        <w:t xml:space="preserve">, get rid </w:t>
      </w:r>
      <w:proofErr w:type="spellStart"/>
      <w:r w:rsidRPr="00363923">
        <w:rPr>
          <w:sz w:val="16"/>
        </w:rPr>
        <w:t>of."The</w:t>
      </w:r>
      <w:proofErr w:type="spellEnd"/>
      <w:r w:rsidRPr="00363923">
        <w:rPr>
          <w:sz w:val="16"/>
        </w:rPr>
        <w:t xml:space="preserve"> Compact Oxford English Dictionary 141 (2d ed. 1989). The American Heritage Dictionary provides that the word "eliminate" means "to wipe out someone or something, especially by using drastic methods such as banishment or execution." The American Heritage Dictionary 580 (4th ed. 2000). Thus, the word "</w:t>
      </w:r>
      <w:r w:rsidRPr="00363923">
        <w:rPr>
          <w:rStyle w:val="StyleUnderline"/>
        </w:rPr>
        <w:t>eliminate</w:t>
      </w:r>
      <w:r w:rsidRPr="00363923">
        <w:rPr>
          <w:sz w:val="16"/>
        </w:rPr>
        <w:t xml:space="preserve">" </w:t>
      </w:r>
      <w:r w:rsidRPr="00363923">
        <w:rPr>
          <w:rStyle w:val="StyleUnderline"/>
        </w:rPr>
        <w:t xml:space="preserve">denotes a </w:t>
      </w:r>
      <w:r w:rsidRPr="00363923">
        <w:rPr>
          <w:rStyle w:val="Emphasis"/>
        </w:rPr>
        <w:t>complete removal</w:t>
      </w:r>
      <w:r w:rsidRPr="00363923">
        <w:rPr>
          <w:rStyle w:val="StyleUnderline"/>
        </w:rPr>
        <w:t xml:space="preserve"> such that the word</w:t>
      </w:r>
      <w:r w:rsidRPr="00363923">
        <w:rPr>
          <w:sz w:val="16"/>
        </w:rPr>
        <w:t xml:space="preserve"> "</w:t>
      </w:r>
      <w:r w:rsidRPr="00363923">
        <w:rPr>
          <w:rStyle w:val="StyleUnderline"/>
        </w:rPr>
        <w:t>complete</w:t>
      </w:r>
      <w:r w:rsidRPr="00363923">
        <w:rPr>
          <w:sz w:val="16"/>
        </w:rPr>
        <w:t xml:space="preserve">" </w:t>
      </w:r>
      <w:r w:rsidRPr="00363923">
        <w:rPr>
          <w:rStyle w:val="StyleUnderline"/>
        </w:rPr>
        <w:t xml:space="preserve">is </w:t>
      </w:r>
      <w:r w:rsidRPr="00363923">
        <w:rPr>
          <w:rStyle w:val="Emphasis"/>
        </w:rPr>
        <w:t>unnecessary and repetitive</w:t>
      </w:r>
      <w:r w:rsidRPr="00363923">
        <w:rPr>
          <w:sz w:val="16"/>
        </w:rPr>
        <w:t xml:space="preserve">. </w:t>
      </w:r>
    </w:p>
    <w:p w14:paraId="0D8C5075" w14:textId="77777777" w:rsidR="00C07FAA" w:rsidRPr="00363923" w:rsidRDefault="00C07FAA" w:rsidP="00C07FAA">
      <w:pPr>
        <w:ind w:left="720"/>
        <w:rPr>
          <w:sz w:val="16"/>
        </w:rPr>
      </w:pPr>
      <w:r w:rsidRPr="00363923">
        <w:rPr>
          <w:sz w:val="16"/>
        </w:rPr>
        <w:t xml:space="preserve">The Third Circuit addressed a similar factual scenario </w:t>
      </w:r>
      <w:r w:rsidRPr="00363923">
        <w:rPr>
          <w:rStyle w:val="StyleUnderline"/>
        </w:rPr>
        <w:t>when an advertisement stated that a product could</w:t>
      </w:r>
      <w:r w:rsidRPr="00363923">
        <w:rPr>
          <w:sz w:val="16"/>
        </w:rPr>
        <w:t xml:space="preserve"> "</w:t>
      </w:r>
      <w:r w:rsidRPr="00363923">
        <w:rPr>
          <w:rStyle w:val="Emphasis"/>
        </w:rPr>
        <w:t>eliminate</w:t>
      </w:r>
      <w:r w:rsidRPr="00363923">
        <w:rPr>
          <w:sz w:val="16"/>
        </w:rPr>
        <w:t xml:space="preserve">" </w:t>
      </w:r>
      <w:r w:rsidRPr="00363923">
        <w:rPr>
          <w:rStyle w:val="StyleUnderline"/>
        </w:rPr>
        <w:t>a medical condition</w:t>
      </w:r>
      <w:r w:rsidRPr="00363923">
        <w:rPr>
          <w:sz w:val="16"/>
        </w:rPr>
        <w:t xml:space="preserve">. Belmont Labs., Inc. v. Fed. Trade Comm'n, 103 F.2d 538, 540-41 (3d Cir. 1939). When the </w:t>
      </w:r>
      <w:r w:rsidRPr="00363923">
        <w:rPr>
          <w:rStyle w:val="StyleUnderline"/>
        </w:rPr>
        <w:t>evidence demonstrated</w:t>
      </w:r>
      <w:r w:rsidRPr="00363923">
        <w:rPr>
          <w:sz w:val="16"/>
        </w:rPr>
        <w:t xml:space="preserve"> that </w:t>
      </w:r>
      <w:r w:rsidRPr="00363923">
        <w:rPr>
          <w:rStyle w:val="StyleUnderline"/>
        </w:rPr>
        <w:t>the product could only</w:t>
      </w:r>
      <w:r w:rsidRPr="00363923">
        <w:rPr>
          <w:sz w:val="16"/>
        </w:rPr>
        <w:t xml:space="preserve"> "</w:t>
      </w:r>
      <w:r w:rsidRPr="00363923">
        <w:rPr>
          <w:rStyle w:val="Emphasis"/>
        </w:rPr>
        <w:t>alleviate</w:t>
      </w:r>
      <w:r w:rsidRPr="00363923">
        <w:rPr>
          <w:sz w:val="16"/>
        </w:rPr>
        <w:t xml:space="preserve">" </w:t>
      </w:r>
      <w:r w:rsidRPr="00363923">
        <w:rPr>
          <w:rStyle w:val="StyleUnderline"/>
        </w:rPr>
        <w:t xml:space="preserve">the condition for </w:t>
      </w:r>
      <w:proofErr w:type="gramStart"/>
      <w:r w:rsidRPr="00363923">
        <w:rPr>
          <w:rStyle w:val="StyleUnderline"/>
        </w:rPr>
        <w:t xml:space="preserve">a </w:t>
      </w:r>
      <w:r w:rsidRPr="00363923">
        <w:rPr>
          <w:rStyle w:val="Emphasis"/>
        </w:rPr>
        <w:t>period of time</w:t>
      </w:r>
      <w:proofErr w:type="gramEnd"/>
      <w:r w:rsidRPr="00363923">
        <w:rPr>
          <w:sz w:val="16"/>
        </w:rPr>
        <w:t xml:space="preserve">, </w:t>
      </w:r>
      <w:r w:rsidRPr="00363923">
        <w:rPr>
          <w:rStyle w:val="StyleUnderline"/>
        </w:rPr>
        <w:t>the advertisement was found to be false</w:t>
      </w:r>
      <w:r w:rsidRPr="00363923">
        <w:rPr>
          <w:sz w:val="16"/>
        </w:rPr>
        <w:t>. Id.</w:t>
      </w:r>
    </w:p>
    <w:p w14:paraId="5AF758B7" w14:textId="77777777" w:rsidR="00C07FAA" w:rsidRPr="00363923" w:rsidRDefault="00C07FAA" w:rsidP="00C07FAA">
      <w:pPr>
        <w:rPr>
          <w:sz w:val="16"/>
        </w:rPr>
      </w:pPr>
      <w:r w:rsidRPr="00363923">
        <w:rPr>
          <w:sz w:val="16"/>
        </w:rPr>
        <w:t xml:space="preserve">Defendants have submitted </w:t>
      </w:r>
      <w:r w:rsidRPr="00363923">
        <w:rPr>
          <w:rStyle w:val="Emphasis"/>
        </w:rPr>
        <w:t>several dictionary definitions</w:t>
      </w:r>
      <w:r w:rsidRPr="00363923">
        <w:rPr>
          <w:rStyle w:val="StyleUnderline"/>
        </w:rPr>
        <w:t xml:space="preserve"> equating the word</w:t>
      </w:r>
      <w:r w:rsidRPr="00363923">
        <w:rPr>
          <w:sz w:val="16"/>
        </w:rPr>
        <w:t xml:space="preserve"> "</w:t>
      </w:r>
      <w:r w:rsidRPr="00363923">
        <w:rPr>
          <w:rStyle w:val="Emphasis"/>
        </w:rPr>
        <w:t>eliminate</w:t>
      </w:r>
      <w:r w:rsidRPr="00363923">
        <w:rPr>
          <w:sz w:val="16"/>
        </w:rPr>
        <w:t xml:space="preserve">" </w:t>
      </w:r>
      <w:r w:rsidRPr="00363923">
        <w:rPr>
          <w:rStyle w:val="StyleUnderline"/>
        </w:rPr>
        <w:t>with</w:t>
      </w:r>
      <w:r w:rsidRPr="00363923">
        <w:rPr>
          <w:sz w:val="16"/>
        </w:rPr>
        <w:t xml:space="preserve"> "</w:t>
      </w:r>
      <w:r w:rsidRPr="00363923">
        <w:rPr>
          <w:rStyle w:val="Emphasis"/>
        </w:rPr>
        <w:t>remove</w:t>
      </w:r>
      <w:r w:rsidRPr="00363923">
        <w:rPr>
          <w:sz w:val="16"/>
        </w:rPr>
        <w:t xml:space="preserve">." (Andre Decl. </w:t>
      </w:r>
      <w:proofErr w:type="spellStart"/>
      <w:r w:rsidRPr="00363923">
        <w:rPr>
          <w:sz w:val="16"/>
        </w:rPr>
        <w:t>Exs</w:t>
      </w:r>
      <w:proofErr w:type="spellEnd"/>
      <w:r w:rsidRPr="00363923">
        <w:rPr>
          <w:sz w:val="16"/>
        </w:rPr>
        <w:t xml:space="preserve">. 12-14.) Defendants argue that because their carbon-embedded clothing removes a substantial amount of odor, its advertisements are not literally false. However, the </w:t>
      </w:r>
      <w:r w:rsidRPr="00363923">
        <w:rPr>
          <w:rStyle w:val="StyleUnderline"/>
        </w:rPr>
        <w:t>Court finds that the use of the word</w:t>
      </w:r>
      <w:r w:rsidRPr="00363923">
        <w:rPr>
          <w:sz w:val="16"/>
        </w:rPr>
        <w:t xml:space="preserve"> "</w:t>
      </w:r>
      <w:r w:rsidRPr="00363923">
        <w:rPr>
          <w:rStyle w:val="Emphasis"/>
        </w:rPr>
        <w:t>remove</w:t>
      </w:r>
      <w:r w:rsidRPr="00363923">
        <w:rPr>
          <w:sz w:val="16"/>
        </w:rPr>
        <w:t xml:space="preserve">" </w:t>
      </w:r>
      <w:r w:rsidRPr="00363923">
        <w:rPr>
          <w:rStyle w:val="StyleUnderline"/>
        </w:rPr>
        <w:t xml:space="preserve">would also be </w:t>
      </w:r>
      <w:r w:rsidRPr="00363923">
        <w:rPr>
          <w:rStyle w:val="Emphasis"/>
        </w:rPr>
        <w:t>literally false</w:t>
      </w:r>
      <w:r w:rsidRPr="00363923">
        <w:rPr>
          <w:rStyle w:val="StyleUnderline"/>
        </w:rPr>
        <w:t xml:space="preserve"> if used in </w:t>
      </w:r>
      <w:r w:rsidRPr="00363923">
        <w:rPr>
          <w:rStyle w:val="Emphasis"/>
        </w:rPr>
        <w:t>Defendants' advertisements</w:t>
      </w:r>
      <w:r w:rsidRPr="00363923">
        <w:rPr>
          <w:sz w:val="16"/>
        </w:rPr>
        <w:t>. Here an example is helpful. If an advertisement states that a product will remove roaches from a home, the only reasonable expectation would be that all roaches would be removed, not just some. Accordingly, the Court finds Defendants' advertisements utilizing the "elimination" terminology, without further explanation, to be literally false.</w:t>
      </w:r>
    </w:p>
    <w:p w14:paraId="3D756C01" w14:textId="77777777" w:rsidR="00C07FAA" w:rsidRPr="00927104" w:rsidRDefault="00C07FAA" w:rsidP="001B0340"/>
    <w:p w14:paraId="28C4222F" w14:textId="7921FD50" w:rsidR="009843DD" w:rsidRPr="00927104" w:rsidRDefault="009843DD" w:rsidP="009843DD">
      <w:pPr>
        <w:pStyle w:val="Heading3"/>
      </w:pPr>
      <w:r w:rsidRPr="00927104">
        <w:lastRenderedPageBreak/>
        <w:t>remove = transfer</w:t>
      </w:r>
    </w:p>
    <w:p w14:paraId="555D421A" w14:textId="796771CF" w:rsidR="00B81025" w:rsidRPr="00927104" w:rsidRDefault="00B81025" w:rsidP="00B81025">
      <w:pPr>
        <w:pStyle w:val="Heading4"/>
      </w:pPr>
      <w:r w:rsidRPr="00927104">
        <w:t xml:space="preserve">‘Remove’ allows </w:t>
      </w:r>
      <w:r w:rsidRPr="00927104">
        <w:rPr>
          <w:u w:val="single"/>
        </w:rPr>
        <w:t>transfer</w:t>
      </w:r>
      <w:r w:rsidRPr="00927104">
        <w:t>.</w:t>
      </w:r>
    </w:p>
    <w:p w14:paraId="7D15379C" w14:textId="0C5A1657" w:rsidR="00726887" w:rsidRPr="00927104" w:rsidRDefault="00726887" w:rsidP="00726887">
      <w:r w:rsidRPr="00927104">
        <w:rPr>
          <w:rStyle w:val="Style13ptBold"/>
        </w:rPr>
        <w:t>Meriam Webster ’ND</w:t>
      </w:r>
      <w:r w:rsidRPr="00927104">
        <w:t xml:space="preserve"> [“remove.” https://www.merriam-webster.com/dictionary/remove]</w:t>
      </w:r>
      <w:r w:rsidR="007D16E8" w:rsidRPr="00927104">
        <w:t xml:space="preserve"> TDI</w:t>
      </w:r>
    </w:p>
    <w:p w14:paraId="1331930F" w14:textId="3493AC1F" w:rsidR="009843DD" w:rsidRPr="00927104" w:rsidRDefault="009843DD" w:rsidP="001B0340">
      <w:pPr>
        <w:rPr>
          <w:rStyle w:val="StyleUnderline"/>
        </w:rPr>
      </w:pPr>
      <w:r w:rsidRPr="00927104">
        <w:rPr>
          <w:rStyle w:val="StyleUnderline"/>
        </w:rPr>
        <w:t xml:space="preserve">to change the </w:t>
      </w:r>
      <w:r w:rsidRPr="00927104">
        <w:rPr>
          <w:rStyle w:val="Emphasis"/>
        </w:rPr>
        <w:t>location</w:t>
      </w:r>
      <w:r w:rsidRPr="00927104">
        <w:t xml:space="preserve">, </w:t>
      </w:r>
      <w:r w:rsidRPr="00927104">
        <w:rPr>
          <w:rStyle w:val="StyleUnderline"/>
        </w:rPr>
        <w:t>position</w:t>
      </w:r>
      <w:r w:rsidRPr="00927104">
        <w:t xml:space="preserve">, </w:t>
      </w:r>
      <w:r w:rsidRPr="00927104">
        <w:rPr>
          <w:rStyle w:val="StyleUnderline"/>
        </w:rPr>
        <w:t>station</w:t>
      </w:r>
      <w:r w:rsidRPr="00927104">
        <w:t xml:space="preserve">, </w:t>
      </w:r>
      <w:r w:rsidRPr="00927104">
        <w:rPr>
          <w:rStyle w:val="StyleUnderline"/>
        </w:rPr>
        <w:t>or residence of</w:t>
      </w:r>
    </w:p>
    <w:p w14:paraId="4E546D5E" w14:textId="1BD63C79" w:rsidR="00463CE6" w:rsidRPr="00927104" w:rsidRDefault="00463CE6" w:rsidP="00463CE6"/>
    <w:p w14:paraId="52E5CBB1" w14:textId="22C283D1" w:rsidR="00463CE6" w:rsidRPr="00927104" w:rsidRDefault="00463CE6" w:rsidP="00463CE6">
      <w:pPr>
        <w:pStyle w:val="Heading3"/>
      </w:pPr>
      <w:r w:rsidRPr="00927104">
        <w:lastRenderedPageBreak/>
        <w:t>remove = gradual</w:t>
      </w:r>
    </w:p>
    <w:p w14:paraId="7A8A713B" w14:textId="7E7B34B8" w:rsidR="00962CFF" w:rsidRPr="00927104" w:rsidRDefault="00962CFF" w:rsidP="00962CFF">
      <w:pPr>
        <w:pStyle w:val="Heading4"/>
      </w:pPr>
      <w:r w:rsidRPr="00927104">
        <w:t xml:space="preserve">‘Remove sanctions’ is </w:t>
      </w:r>
      <w:r w:rsidRPr="00927104">
        <w:rPr>
          <w:u w:val="single"/>
        </w:rPr>
        <w:t>gradual</w:t>
      </w:r>
      <w:r w:rsidRPr="00927104">
        <w:t>.</w:t>
      </w:r>
    </w:p>
    <w:p w14:paraId="4E294F7A" w14:textId="07F52914" w:rsidR="00001198" w:rsidRPr="00927104" w:rsidRDefault="00D07E15" w:rsidP="00001198">
      <w:r w:rsidRPr="00927104">
        <w:rPr>
          <w:rStyle w:val="Style13ptBold"/>
        </w:rPr>
        <w:t xml:space="preserve">Attia &amp; </w:t>
      </w:r>
      <w:proofErr w:type="spellStart"/>
      <w:r w:rsidRPr="00927104">
        <w:rPr>
          <w:rStyle w:val="Style13ptBold"/>
        </w:rPr>
        <w:t>Grauvogel</w:t>
      </w:r>
      <w:proofErr w:type="spellEnd"/>
      <w:r w:rsidRPr="00927104">
        <w:rPr>
          <w:rStyle w:val="Style13ptBold"/>
        </w:rPr>
        <w:t xml:space="preserve"> ’22</w:t>
      </w:r>
      <w:r w:rsidRPr="00927104">
        <w:t xml:space="preserve"> [Hana; German Institute for Global and Area Studies &amp; University of Konstanz. Julia; German Institute for Global and Area Studies.</w:t>
      </w:r>
      <w:r w:rsidR="00CB01A3" w:rsidRPr="00927104">
        <w:t xml:space="preserve"> </w:t>
      </w:r>
      <w:r w:rsidR="00A8413E" w:rsidRPr="00927104">
        <w:t>“International Sanctions Termination, 1990–2018: Introducing the IST dataset.” Journal of Peace Research, Volume 60, Issue 4.]</w:t>
      </w:r>
      <w:r w:rsidR="00596959" w:rsidRPr="00927104">
        <w:t xml:space="preserve"> TDI</w:t>
      </w:r>
    </w:p>
    <w:p w14:paraId="27BA90E6" w14:textId="3EA5991D" w:rsidR="00463CE6" w:rsidRPr="00927104" w:rsidRDefault="00463CE6" w:rsidP="004F49F5">
      <w:pPr>
        <w:rPr>
          <w:sz w:val="16"/>
        </w:rPr>
      </w:pPr>
      <w:r w:rsidRPr="00927104">
        <w:rPr>
          <w:sz w:val="16"/>
        </w:rPr>
        <w:t xml:space="preserve">Our dataset also allows us to assess how sanctions end. We find that only approximately 26% of imposed sanctions are lifted in response to complete target acquiescence. This means that capitulation by senders despite the failure to achieve the prescribed goals is common. The IST dataset also underlines that sanctions termination is often a gradual process. Case studies on Iran and Zimbabwe showed that sanctions were lifted progressively and that goals were adapted repeatedly (Eriksson, 2007; </w:t>
      </w:r>
      <w:proofErr w:type="spellStart"/>
      <w:r w:rsidRPr="00927104">
        <w:rPr>
          <w:sz w:val="16"/>
        </w:rPr>
        <w:t>Grauvogel</w:t>
      </w:r>
      <w:proofErr w:type="spellEnd"/>
      <w:r w:rsidRPr="00927104">
        <w:rPr>
          <w:sz w:val="16"/>
        </w:rPr>
        <w:t xml:space="preserve"> &amp; Attia, 2019). Like the EUSANCT dataset (Weber &amp; Schneider, 2022), we also find </w:t>
      </w:r>
      <w:r w:rsidRPr="00927104">
        <w:rPr>
          <w:rStyle w:val="Emphasis"/>
        </w:rPr>
        <w:t>cross-national evidence</w:t>
      </w:r>
      <w:r w:rsidRPr="00927104">
        <w:rPr>
          <w:rStyle w:val="StyleUnderline"/>
        </w:rPr>
        <w:t xml:space="preserve"> for the gradual nature of </w:t>
      </w:r>
      <w:r w:rsidRPr="00927104">
        <w:rPr>
          <w:rStyle w:val="Emphasis"/>
        </w:rPr>
        <w:t>sanctions termination</w:t>
      </w:r>
      <w:r w:rsidRPr="00927104">
        <w:rPr>
          <w:sz w:val="16"/>
        </w:rPr>
        <w:t xml:space="preserve">: </w:t>
      </w:r>
      <w:r w:rsidRPr="00927104">
        <w:rPr>
          <w:rStyle w:val="StyleUnderline"/>
        </w:rPr>
        <w:t>more than 43% of the cases in the</w:t>
      </w:r>
      <w:r w:rsidRPr="00927104">
        <w:rPr>
          <w:sz w:val="16"/>
        </w:rPr>
        <w:t xml:space="preserve"> IST </w:t>
      </w:r>
      <w:r w:rsidRPr="00927104">
        <w:rPr>
          <w:rStyle w:val="StyleUnderline"/>
        </w:rPr>
        <w:t>dataset are lifted gradually</w:t>
      </w:r>
      <w:r w:rsidRPr="00927104">
        <w:rPr>
          <w:sz w:val="16"/>
        </w:rPr>
        <w:t xml:space="preserve">, including 42% of the EU, 50% of the UN and 48% of the US sanctions.11 In addition, our data provide the first systematic account of another aspect of gradualism: namely goal adaptation, which occurred in 12% of cases. Thus, our </w:t>
      </w:r>
      <w:r w:rsidRPr="00927104">
        <w:rPr>
          <w:rStyle w:val="StyleUnderline"/>
        </w:rPr>
        <w:t>understanding of sanctions should move from</w:t>
      </w:r>
      <w:r w:rsidRPr="00927104">
        <w:rPr>
          <w:sz w:val="16"/>
        </w:rPr>
        <w:t xml:space="preserve"> a </w:t>
      </w:r>
      <w:r w:rsidRPr="00927104">
        <w:rPr>
          <w:rStyle w:val="Emphasis"/>
        </w:rPr>
        <w:t>static conception</w:t>
      </w:r>
      <w:r w:rsidRPr="00927104">
        <w:rPr>
          <w:rStyle w:val="StyleUnderline"/>
        </w:rPr>
        <w:t xml:space="preserve"> that views</w:t>
      </w:r>
      <w:r w:rsidRPr="00927104">
        <w:rPr>
          <w:sz w:val="16"/>
        </w:rPr>
        <w:t xml:space="preserve"> the </w:t>
      </w:r>
      <w:r w:rsidRPr="00927104">
        <w:rPr>
          <w:rStyle w:val="StyleUnderline"/>
        </w:rPr>
        <w:t xml:space="preserve">decision to </w:t>
      </w:r>
      <w:r w:rsidRPr="00927104">
        <w:rPr>
          <w:rStyle w:val="Emphasis"/>
        </w:rPr>
        <w:t>remove sanctions</w:t>
      </w:r>
      <w:r w:rsidRPr="00927104">
        <w:rPr>
          <w:rStyle w:val="StyleUnderline"/>
        </w:rPr>
        <w:t xml:space="preserve"> as a </w:t>
      </w:r>
      <w:r w:rsidRPr="00927104">
        <w:rPr>
          <w:rStyle w:val="Emphasis"/>
        </w:rPr>
        <w:t>binary event</w:t>
      </w:r>
      <w:r w:rsidRPr="00927104">
        <w:rPr>
          <w:rStyle w:val="StyleUnderline"/>
        </w:rPr>
        <w:t xml:space="preserve"> towards a </w:t>
      </w:r>
      <w:r w:rsidRPr="00927104">
        <w:rPr>
          <w:rStyle w:val="Emphasis"/>
        </w:rPr>
        <w:t>more dynamic understanding</w:t>
      </w:r>
      <w:r w:rsidRPr="00927104">
        <w:rPr>
          <w:rStyle w:val="StyleUnderline"/>
        </w:rPr>
        <w:t xml:space="preserve"> that accounts for the gradual </w:t>
      </w:r>
      <w:r w:rsidRPr="00927104">
        <w:rPr>
          <w:rStyle w:val="Emphasis"/>
        </w:rPr>
        <w:t>nature of this process</w:t>
      </w:r>
      <w:r w:rsidRPr="00927104">
        <w:rPr>
          <w:sz w:val="16"/>
        </w:rPr>
        <w:t>.</w:t>
      </w:r>
    </w:p>
    <w:p w14:paraId="5D749454" w14:textId="77777777" w:rsidR="00A634C9" w:rsidRPr="00927104" w:rsidRDefault="00A634C9" w:rsidP="004F49F5">
      <w:pPr>
        <w:rPr>
          <w:sz w:val="16"/>
        </w:rPr>
      </w:pPr>
    </w:p>
    <w:p w14:paraId="17571DA6" w14:textId="2B611B7C" w:rsidR="00A634C9" w:rsidRPr="00927104" w:rsidRDefault="00152070" w:rsidP="00152070">
      <w:pPr>
        <w:pStyle w:val="Heading3"/>
      </w:pPr>
      <w:r w:rsidRPr="00927104">
        <w:lastRenderedPageBreak/>
        <w:t>remove = statute</w:t>
      </w:r>
    </w:p>
    <w:p w14:paraId="3B64175F" w14:textId="2BE843A8" w:rsidR="0000114F" w:rsidRPr="00927104" w:rsidRDefault="0000114F" w:rsidP="0000114F">
      <w:pPr>
        <w:pStyle w:val="Heading4"/>
        <w:rPr>
          <w:b w:val="0"/>
          <w:bCs/>
        </w:rPr>
      </w:pPr>
      <w:r w:rsidRPr="00927104">
        <w:t xml:space="preserve">‘Remove sanctions’ requires </w:t>
      </w:r>
      <w:r w:rsidRPr="00927104">
        <w:rPr>
          <w:u w:val="single"/>
        </w:rPr>
        <w:t>legislation</w:t>
      </w:r>
      <w:r w:rsidRPr="00927104">
        <w:t>.</w:t>
      </w:r>
      <w:r w:rsidR="00E200C9" w:rsidRPr="00927104">
        <w:t xml:space="preserve"> </w:t>
      </w:r>
      <w:r w:rsidR="00D065A5" w:rsidRPr="00927104">
        <w:rPr>
          <w:b w:val="0"/>
          <w:bCs/>
        </w:rPr>
        <w:t xml:space="preserve">Presidential </w:t>
      </w:r>
      <w:r w:rsidR="00D065A5" w:rsidRPr="00927104">
        <w:rPr>
          <w:b w:val="0"/>
          <w:bCs/>
          <w:u w:val="single"/>
        </w:rPr>
        <w:t>waivers</w:t>
      </w:r>
      <w:r w:rsidR="00D065A5" w:rsidRPr="00927104">
        <w:rPr>
          <w:b w:val="0"/>
          <w:bCs/>
        </w:rPr>
        <w:t xml:space="preserve"> aren’t removal.</w:t>
      </w:r>
    </w:p>
    <w:p w14:paraId="4D8E8B61" w14:textId="53A1E1D1" w:rsidR="00A01284" w:rsidRPr="00927104" w:rsidRDefault="00A01284" w:rsidP="00A01284">
      <w:proofErr w:type="spellStart"/>
      <w:r w:rsidRPr="00927104">
        <w:rPr>
          <w:rStyle w:val="Style13ptBold"/>
        </w:rPr>
        <w:t>Stangarone</w:t>
      </w:r>
      <w:proofErr w:type="spellEnd"/>
      <w:r w:rsidRPr="00927104">
        <w:rPr>
          <w:rStyle w:val="Style13ptBold"/>
        </w:rPr>
        <w:t xml:space="preserve"> ’21</w:t>
      </w:r>
      <w:r w:rsidRPr="00927104">
        <w:t xml:space="preserve"> [</w:t>
      </w:r>
      <w:r w:rsidR="005B03F3" w:rsidRPr="00927104">
        <w:t xml:space="preserve">Troy; </w:t>
      </w:r>
      <w:r w:rsidR="0021551B" w:rsidRPr="00927104">
        <w:t xml:space="preserve">Senior Director and Fellow, Korea Economics Institute. </w:t>
      </w:r>
      <w:r w:rsidRPr="00927104">
        <w:t>“Removing Sanctions on North Korea: Challenges and Potential Pathways</w:t>
      </w:r>
      <w:r w:rsidR="00DE310D" w:rsidRPr="00927104">
        <w:t>.</w:t>
      </w:r>
      <w:r w:rsidRPr="00927104">
        <w:t>”</w:t>
      </w:r>
      <w:r w:rsidR="00BD3B2B" w:rsidRPr="00927104">
        <w:t xml:space="preserve"> </w:t>
      </w:r>
      <w:r w:rsidR="0065578F" w:rsidRPr="00927104">
        <w:t>Special Report, Number 504.]</w:t>
      </w:r>
      <w:r w:rsidR="00F55DDD" w:rsidRPr="00927104">
        <w:t xml:space="preserve"> TDI</w:t>
      </w:r>
    </w:p>
    <w:p w14:paraId="00A2F29D" w14:textId="3B09872B" w:rsidR="00152070" w:rsidRPr="00927104" w:rsidRDefault="00152070" w:rsidP="00152070">
      <w:pPr>
        <w:rPr>
          <w:sz w:val="16"/>
        </w:rPr>
      </w:pPr>
      <w:r w:rsidRPr="00927104">
        <w:rPr>
          <w:sz w:val="16"/>
        </w:rPr>
        <w:t>Removing the vast web of US unilateral sanctions on North Korea requires substantial progress</w:t>
      </w:r>
      <w:r w:rsidR="00273AA1" w:rsidRPr="00927104">
        <w:rPr>
          <w:sz w:val="16"/>
        </w:rPr>
        <w:t xml:space="preserve"> </w:t>
      </w:r>
      <w:r w:rsidRPr="00927104">
        <w:rPr>
          <w:sz w:val="16"/>
        </w:rPr>
        <w:t>on a wide range of issues.43 Should an agreement with North Korea be reached, there are limits</w:t>
      </w:r>
      <w:r w:rsidR="00273AA1" w:rsidRPr="00927104">
        <w:rPr>
          <w:sz w:val="16"/>
        </w:rPr>
        <w:t xml:space="preserve"> </w:t>
      </w:r>
      <w:r w:rsidRPr="00927104">
        <w:rPr>
          <w:sz w:val="16"/>
        </w:rPr>
        <w:t>on the US sanctions that the president could remove unilaterally. While the president can overturn executive orders and has the authority, with designated cabinet officials, to waive certain</w:t>
      </w:r>
      <w:r w:rsidR="00273AA1" w:rsidRPr="00927104">
        <w:rPr>
          <w:sz w:val="16"/>
        </w:rPr>
        <w:t xml:space="preserve"> </w:t>
      </w:r>
      <w:r w:rsidRPr="00927104">
        <w:rPr>
          <w:sz w:val="16"/>
        </w:rPr>
        <w:t xml:space="preserve">sanctions, </w:t>
      </w:r>
      <w:r w:rsidRPr="00927104">
        <w:rPr>
          <w:rStyle w:val="Emphasis"/>
        </w:rPr>
        <w:t>statutorily required sanctions</w:t>
      </w:r>
      <w:r w:rsidRPr="00927104">
        <w:rPr>
          <w:rStyle w:val="StyleUnderline"/>
        </w:rPr>
        <w:t xml:space="preserve"> cannot be</w:t>
      </w:r>
      <w:r w:rsidRPr="00927104">
        <w:rPr>
          <w:sz w:val="16"/>
        </w:rPr>
        <w:t xml:space="preserve"> permanently </w:t>
      </w:r>
      <w:r w:rsidRPr="00927104">
        <w:rPr>
          <w:rStyle w:val="Emphasis"/>
        </w:rPr>
        <w:t>removed</w:t>
      </w:r>
      <w:r w:rsidRPr="00927104">
        <w:rPr>
          <w:rStyle w:val="StyleUnderline"/>
        </w:rPr>
        <w:t xml:space="preserve"> without Congress repealing them</w:t>
      </w:r>
      <w:r w:rsidRPr="00927104">
        <w:rPr>
          <w:sz w:val="16"/>
        </w:rPr>
        <w:t xml:space="preserve"> or North Korea meeting certain requirements. For example, the </w:t>
      </w:r>
      <w:r w:rsidRPr="00927104">
        <w:rPr>
          <w:rStyle w:val="StyleUnderline"/>
        </w:rPr>
        <w:t>president could</w:t>
      </w:r>
      <w:r w:rsidR="00273AA1" w:rsidRPr="00927104">
        <w:rPr>
          <w:rStyle w:val="StyleUnderline"/>
        </w:rPr>
        <w:t xml:space="preserve"> </w:t>
      </w:r>
      <w:r w:rsidRPr="00927104">
        <w:rPr>
          <w:rStyle w:val="Emphasis"/>
        </w:rPr>
        <w:t>waive prohibitions</w:t>
      </w:r>
      <w:r w:rsidRPr="00927104">
        <w:rPr>
          <w:rStyle w:val="StyleUnderline"/>
        </w:rPr>
        <w:t xml:space="preserve"> on providing North Korea with a Normal Trade Relations designation</w:t>
      </w:r>
      <w:r w:rsidRPr="00927104">
        <w:rPr>
          <w:sz w:val="16"/>
        </w:rPr>
        <w:t xml:space="preserve"> under</w:t>
      </w:r>
      <w:r w:rsidR="00273AA1" w:rsidRPr="00927104">
        <w:rPr>
          <w:sz w:val="16"/>
        </w:rPr>
        <w:t xml:space="preserve"> </w:t>
      </w:r>
      <w:r w:rsidRPr="00927104">
        <w:rPr>
          <w:sz w:val="16"/>
        </w:rPr>
        <w:t>the Trade Act of 1974, which would prevent North Korean exports to the United States from</w:t>
      </w:r>
      <w:r w:rsidR="00273AA1" w:rsidRPr="00927104">
        <w:rPr>
          <w:sz w:val="16"/>
        </w:rPr>
        <w:t xml:space="preserve"> </w:t>
      </w:r>
      <w:r w:rsidRPr="00927104">
        <w:rPr>
          <w:sz w:val="16"/>
        </w:rPr>
        <w:t xml:space="preserve">facing the highest level of tariffs. </w:t>
      </w:r>
      <w:r w:rsidRPr="00927104">
        <w:rPr>
          <w:rStyle w:val="StyleUnderline"/>
        </w:rPr>
        <w:t>However</w:t>
      </w:r>
      <w:r w:rsidRPr="00927104">
        <w:rPr>
          <w:sz w:val="16"/>
        </w:rPr>
        <w:t xml:space="preserve">, </w:t>
      </w:r>
      <w:r w:rsidRPr="00927104">
        <w:rPr>
          <w:rStyle w:val="StyleUnderline"/>
        </w:rPr>
        <w:t>the president cannot</w:t>
      </w:r>
      <w:r w:rsidRPr="00927104">
        <w:rPr>
          <w:sz w:val="16"/>
        </w:rPr>
        <w:t xml:space="preserve"> permanently </w:t>
      </w:r>
      <w:r w:rsidRPr="00927104">
        <w:rPr>
          <w:rStyle w:val="Emphasis"/>
        </w:rPr>
        <w:t>remove</w:t>
      </w:r>
      <w:r w:rsidRPr="00927104">
        <w:rPr>
          <w:rStyle w:val="StyleUnderline"/>
        </w:rPr>
        <w:t xml:space="preserve"> those</w:t>
      </w:r>
      <w:r w:rsidR="00273AA1" w:rsidRPr="00927104">
        <w:rPr>
          <w:rStyle w:val="StyleUnderline"/>
        </w:rPr>
        <w:t xml:space="preserve"> </w:t>
      </w:r>
      <w:r w:rsidRPr="00927104">
        <w:rPr>
          <w:rStyle w:val="StyleUnderline"/>
        </w:rPr>
        <w:t>restrictions</w:t>
      </w:r>
      <w:r w:rsidRPr="00927104">
        <w:rPr>
          <w:sz w:val="16"/>
        </w:rPr>
        <w:t>. For North Korea to be granted the Permanent Normal Trade Relations (PNTR) designation, Pyongyang would need to take steps to allow emigration, transition to a market-based</w:t>
      </w:r>
      <w:r w:rsidR="00273AA1" w:rsidRPr="00927104">
        <w:rPr>
          <w:sz w:val="16"/>
        </w:rPr>
        <w:t xml:space="preserve"> </w:t>
      </w:r>
      <w:r w:rsidRPr="00927104">
        <w:rPr>
          <w:sz w:val="16"/>
        </w:rPr>
        <w:t xml:space="preserve">economy, and reform its political system, or </w:t>
      </w:r>
      <w:r w:rsidRPr="00927104">
        <w:rPr>
          <w:rStyle w:val="StyleUnderline"/>
        </w:rPr>
        <w:t xml:space="preserve">Congress would need to </w:t>
      </w:r>
      <w:r w:rsidRPr="00927104">
        <w:rPr>
          <w:rStyle w:val="Emphasis"/>
        </w:rPr>
        <w:t>pass legislation</w:t>
      </w:r>
      <w:r w:rsidRPr="00927104">
        <w:rPr>
          <w:sz w:val="16"/>
        </w:rPr>
        <w:t xml:space="preserve"> allowing</w:t>
      </w:r>
      <w:r w:rsidR="00273AA1" w:rsidRPr="00927104">
        <w:rPr>
          <w:sz w:val="16"/>
        </w:rPr>
        <w:t xml:space="preserve"> </w:t>
      </w:r>
      <w:r w:rsidRPr="00927104">
        <w:rPr>
          <w:sz w:val="16"/>
        </w:rPr>
        <w:t>the establishment of the PNTR designation</w:t>
      </w:r>
      <w:r w:rsidR="00273AA1" w:rsidRPr="00927104">
        <w:rPr>
          <w:sz w:val="16"/>
        </w:rPr>
        <w:t>.</w:t>
      </w:r>
    </w:p>
    <w:p w14:paraId="444194AC" w14:textId="77777777" w:rsidR="00911954" w:rsidRPr="00927104" w:rsidRDefault="00911954" w:rsidP="00152070">
      <w:pPr>
        <w:rPr>
          <w:sz w:val="16"/>
        </w:rPr>
      </w:pPr>
    </w:p>
    <w:p w14:paraId="1F9A4D3C" w14:textId="5CAEDF0C" w:rsidR="00911954" w:rsidRPr="00927104" w:rsidRDefault="00D530E6" w:rsidP="00D530E6">
      <w:pPr>
        <w:pStyle w:val="Heading2"/>
      </w:pPr>
      <w:r w:rsidRPr="00927104">
        <w:lastRenderedPageBreak/>
        <w:t>all</w:t>
      </w:r>
    </w:p>
    <w:p w14:paraId="5F5F1FA7" w14:textId="1E4C2824" w:rsidR="00D530E6" w:rsidRPr="00927104" w:rsidRDefault="00D530E6" w:rsidP="00D530E6">
      <w:pPr>
        <w:pStyle w:val="Heading3"/>
      </w:pPr>
      <w:r w:rsidRPr="00927104">
        <w:lastRenderedPageBreak/>
        <w:t>all = all</w:t>
      </w:r>
    </w:p>
    <w:p w14:paraId="4DA6F46C" w14:textId="037405B9" w:rsidR="004948E6" w:rsidRPr="00927104" w:rsidRDefault="00C036CE" w:rsidP="004948E6">
      <w:pPr>
        <w:pStyle w:val="Heading4"/>
      </w:pPr>
      <w:r w:rsidRPr="00927104">
        <w:t>‘</w:t>
      </w:r>
      <w:r w:rsidR="004948E6" w:rsidRPr="00927104">
        <w:t>All</w:t>
      </w:r>
      <w:r w:rsidR="00DE7391" w:rsidRPr="00927104">
        <w:t>’</w:t>
      </w:r>
      <w:r w:rsidR="004948E6" w:rsidRPr="00927104">
        <w:t xml:space="preserve"> means the </w:t>
      </w:r>
      <w:r w:rsidR="004948E6" w:rsidRPr="00927104">
        <w:rPr>
          <w:u w:val="single"/>
        </w:rPr>
        <w:t>whole extent</w:t>
      </w:r>
      <w:r w:rsidR="004948E6" w:rsidRPr="00927104">
        <w:t xml:space="preserve"> of.</w:t>
      </w:r>
    </w:p>
    <w:p w14:paraId="55AA7838" w14:textId="4E7DB72D" w:rsidR="007E1D0E" w:rsidRPr="00927104" w:rsidRDefault="001830BB" w:rsidP="007E1D0E">
      <w:r w:rsidRPr="00927104">
        <w:rPr>
          <w:rStyle w:val="Style13ptBold"/>
        </w:rPr>
        <w:t>Meriam Webster ’ND</w:t>
      </w:r>
      <w:r w:rsidRPr="00927104">
        <w:t xml:space="preserve"> [“all.”</w:t>
      </w:r>
      <w:r w:rsidR="003E77D5" w:rsidRPr="00927104">
        <w:t xml:space="preserve"> </w:t>
      </w:r>
      <w:r w:rsidR="00780E69" w:rsidRPr="00927104">
        <w:t>https://www.merriam-webster.com/dictionary/all] TDI</w:t>
      </w:r>
    </w:p>
    <w:p w14:paraId="7CE5AA41" w14:textId="5E7BF0B7" w:rsidR="00D530E6" w:rsidRPr="00927104" w:rsidRDefault="00D530E6" w:rsidP="00D530E6">
      <w:r w:rsidRPr="00927104">
        <w:rPr>
          <w:rStyle w:val="StyleUnderline"/>
        </w:rPr>
        <w:t xml:space="preserve">the </w:t>
      </w:r>
      <w:r w:rsidRPr="00927104">
        <w:rPr>
          <w:rStyle w:val="Emphasis"/>
        </w:rPr>
        <w:t>whole amount</w:t>
      </w:r>
      <w:r w:rsidRPr="00927104">
        <w:t xml:space="preserve">, </w:t>
      </w:r>
      <w:r w:rsidRPr="00927104">
        <w:rPr>
          <w:rStyle w:val="StyleUnderline"/>
        </w:rPr>
        <w:t>quantity</w:t>
      </w:r>
      <w:r w:rsidRPr="00927104">
        <w:t xml:space="preserve">, </w:t>
      </w:r>
      <w:r w:rsidRPr="00927104">
        <w:rPr>
          <w:rStyle w:val="StyleUnderline"/>
        </w:rPr>
        <w:t>or extent of</w:t>
      </w:r>
    </w:p>
    <w:p w14:paraId="352D5BFA" w14:textId="77777777" w:rsidR="00D530E6" w:rsidRPr="00927104" w:rsidRDefault="00D530E6" w:rsidP="00D530E6"/>
    <w:p w14:paraId="6582491E" w14:textId="337B7FF0" w:rsidR="00FE2A62" w:rsidRPr="00927104" w:rsidRDefault="00FE2A62" w:rsidP="00FE2A62">
      <w:pPr>
        <w:pStyle w:val="Heading2"/>
      </w:pPr>
      <w:r w:rsidRPr="00927104">
        <w:lastRenderedPageBreak/>
        <w:t>nearly all</w:t>
      </w:r>
    </w:p>
    <w:p w14:paraId="523CD3A9" w14:textId="1B881A4D" w:rsidR="00D30EF1" w:rsidRPr="00927104" w:rsidRDefault="00D30EF1" w:rsidP="00D30EF1">
      <w:pPr>
        <w:pStyle w:val="Heading3"/>
      </w:pPr>
      <w:r w:rsidRPr="00927104">
        <w:lastRenderedPageBreak/>
        <w:t>nearly all = plurality</w:t>
      </w:r>
    </w:p>
    <w:p w14:paraId="5ECF06A4" w14:textId="094F0739" w:rsidR="001C33BC" w:rsidRPr="00927104" w:rsidRDefault="001C33BC" w:rsidP="001C33BC">
      <w:pPr>
        <w:pStyle w:val="Heading4"/>
      </w:pPr>
      <w:r w:rsidRPr="00927104">
        <w:t xml:space="preserve">‘Nearly all’ refers to a </w:t>
      </w:r>
      <w:r w:rsidRPr="00927104">
        <w:rPr>
          <w:u w:val="single"/>
        </w:rPr>
        <w:t>plurality</w:t>
      </w:r>
      <w:r w:rsidRPr="00927104">
        <w:t>.</w:t>
      </w:r>
    </w:p>
    <w:p w14:paraId="781AADAC" w14:textId="24C7CD12" w:rsidR="00720183" w:rsidRPr="00927104" w:rsidRDefault="008917CA" w:rsidP="00720183">
      <w:r w:rsidRPr="00927104">
        <w:rPr>
          <w:rStyle w:val="Style13ptBold"/>
        </w:rPr>
        <w:t xml:space="preserve">Thesaurus </w:t>
      </w:r>
      <w:r w:rsidR="00C25585" w:rsidRPr="00927104">
        <w:rPr>
          <w:rStyle w:val="Style13ptBold"/>
        </w:rPr>
        <w:t>’ND</w:t>
      </w:r>
      <w:r w:rsidR="009455EC" w:rsidRPr="00927104">
        <w:t xml:space="preserve"> [</w:t>
      </w:r>
      <w:r w:rsidR="00833D41" w:rsidRPr="00927104">
        <w:t xml:space="preserve">“nearly all.” </w:t>
      </w:r>
      <w:r w:rsidR="00D2445E" w:rsidRPr="00927104">
        <w:t>https://www.thesaurus.com/browse/nearly-all</w:t>
      </w:r>
      <w:r w:rsidR="009455EC" w:rsidRPr="00927104">
        <w:t>]</w:t>
      </w:r>
      <w:r w:rsidR="00EC7FC0" w:rsidRPr="00927104">
        <w:t xml:space="preserve"> TDI</w:t>
      </w:r>
    </w:p>
    <w:p w14:paraId="2F57812B" w14:textId="3F63F1FB" w:rsidR="00D30EF1" w:rsidRDefault="00D30EF1" w:rsidP="00D30EF1">
      <w:pPr>
        <w:rPr>
          <w:rStyle w:val="Emphasis"/>
        </w:rPr>
      </w:pPr>
      <w:r w:rsidRPr="00927104">
        <w:rPr>
          <w:rStyle w:val="StyleUnderline"/>
        </w:rPr>
        <w:t>noun as in</w:t>
      </w:r>
      <w:r w:rsidRPr="00927104">
        <w:rPr>
          <w:sz w:val="16"/>
        </w:rPr>
        <w:t xml:space="preserve"> </w:t>
      </w:r>
      <w:r w:rsidRPr="00927104">
        <w:rPr>
          <w:rStyle w:val="Emphasis"/>
        </w:rPr>
        <w:t>plurality</w:t>
      </w:r>
    </w:p>
    <w:p w14:paraId="5E10CEEE" w14:textId="77777777" w:rsidR="005E74CB" w:rsidRDefault="005E74CB" w:rsidP="00D30EF1">
      <w:pPr>
        <w:rPr>
          <w:rStyle w:val="Emphasis"/>
        </w:rPr>
      </w:pPr>
    </w:p>
    <w:p w14:paraId="0FE6305E" w14:textId="2175041A" w:rsidR="005E74CB" w:rsidRDefault="005E74CB" w:rsidP="005E74CB">
      <w:pPr>
        <w:pStyle w:val="Heading3"/>
      </w:pPr>
      <w:r w:rsidRPr="005E74CB">
        <w:lastRenderedPageBreak/>
        <w:t>nearl</w:t>
      </w:r>
      <w:r>
        <w:t>y all = almost</w:t>
      </w:r>
    </w:p>
    <w:p w14:paraId="295DB6AF" w14:textId="4A0E7C15" w:rsidR="005E74CB" w:rsidRDefault="005E74CB" w:rsidP="005E74CB">
      <w:pPr>
        <w:pStyle w:val="Heading4"/>
      </w:pPr>
      <w:r>
        <w:t>‘Nearly’ means almost.</w:t>
      </w:r>
    </w:p>
    <w:p w14:paraId="2A15CA62" w14:textId="397EE84C" w:rsidR="005E74CB" w:rsidRPr="005E74CB" w:rsidRDefault="005E74CB" w:rsidP="005E74CB">
      <w:r w:rsidRPr="005E74CB">
        <w:rPr>
          <w:rStyle w:val="Style13ptBold"/>
        </w:rPr>
        <w:t xml:space="preserve">Meriam Webster </w:t>
      </w:r>
      <w:r>
        <w:rPr>
          <w:rStyle w:val="Style13ptBold"/>
        </w:rPr>
        <w:t>’</w:t>
      </w:r>
      <w:r w:rsidRPr="005E74CB">
        <w:rPr>
          <w:rStyle w:val="Style13ptBold"/>
        </w:rPr>
        <w:t>ND</w:t>
      </w:r>
      <w:r>
        <w:t xml:space="preserve"> [“nearly.” </w:t>
      </w:r>
      <w:r w:rsidRPr="005E74CB">
        <w:t>https://www.merriam-webster.com/dictionary/nearly</w:t>
      </w:r>
      <w:r>
        <w:t>] TDI</w:t>
      </w:r>
    </w:p>
    <w:p w14:paraId="0F3641E5" w14:textId="4A58A07F" w:rsidR="005E74CB" w:rsidRDefault="005E74CB" w:rsidP="005E74CB">
      <w:pPr>
        <w:rPr>
          <w:rStyle w:val="StyleUnderline"/>
        </w:rPr>
      </w:pPr>
      <w:r w:rsidRPr="005E74CB">
        <w:rPr>
          <w:rStyle w:val="Emphasis"/>
        </w:rPr>
        <w:t>almost</w:t>
      </w:r>
      <w:r w:rsidRPr="005E74CB">
        <w:rPr>
          <w:rStyle w:val="StyleUnderline"/>
        </w:rPr>
        <w:t xml:space="preserve"> but not quite</w:t>
      </w:r>
    </w:p>
    <w:p w14:paraId="7ADAB374" w14:textId="77777777" w:rsidR="005E74CB" w:rsidRDefault="005E74CB" w:rsidP="005E74CB">
      <w:pPr>
        <w:rPr>
          <w:rStyle w:val="StyleUnderline"/>
        </w:rPr>
      </w:pPr>
    </w:p>
    <w:p w14:paraId="6D99FEE4" w14:textId="2C90E831" w:rsidR="005E74CB" w:rsidRDefault="005E74CB" w:rsidP="001404C2">
      <w:pPr>
        <w:pStyle w:val="Heading4"/>
      </w:pPr>
      <w:r w:rsidRPr="00980D67">
        <w:t xml:space="preserve">That means </w:t>
      </w:r>
      <w:r w:rsidRPr="00D551A7">
        <w:rPr>
          <w:u w:val="single"/>
        </w:rPr>
        <w:t>at least</w:t>
      </w:r>
      <w:r w:rsidRPr="00980D67">
        <w:t xml:space="preserve"> 90%.</w:t>
      </w:r>
    </w:p>
    <w:p w14:paraId="35C72E0F" w14:textId="1B5D6D19" w:rsidR="00FC7CA7" w:rsidRPr="00FC7CA7" w:rsidRDefault="001A13BB" w:rsidP="00FC7CA7">
      <w:r w:rsidRPr="00CA7B80">
        <w:rPr>
          <w:rStyle w:val="Style13ptBold"/>
        </w:rPr>
        <w:t>ABC ’15</w:t>
      </w:r>
      <w:r>
        <w:t xml:space="preserve"> </w:t>
      </w:r>
      <w:r w:rsidR="00917386">
        <w:t>[</w:t>
      </w:r>
      <w:r w:rsidR="00DF0A3F">
        <w:t>“</w:t>
      </w:r>
      <w:r w:rsidR="00DF0A3F" w:rsidRPr="00DF0A3F">
        <w:t>Appendix 4: The six-point scale</w:t>
      </w:r>
      <w:r w:rsidR="00DF0A3F">
        <w:t xml:space="preserve">.” </w:t>
      </w:r>
      <w:r w:rsidR="00917386" w:rsidRPr="00917386">
        <w:t>https://www.argyll-bute.gov.uk/moderngov/documents/s112443/Appendix%204%20%20Revised%20School%20Inspection%20Framework%20%20%20Six-point%20scale%2025082016%20Pre-Agenda%20of%20the.pdf</w:t>
      </w:r>
      <w:r w:rsidR="00917386">
        <w:t>] TDI</w:t>
      </w:r>
    </w:p>
    <w:p w14:paraId="6FBB5014" w14:textId="662BA95A" w:rsidR="005E74CB" w:rsidRDefault="005E74CB" w:rsidP="005E74CB">
      <w:pPr>
        <w:rPr>
          <w:rStyle w:val="Emphasis"/>
        </w:rPr>
      </w:pPr>
      <w:r w:rsidRPr="005E74CB">
        <w:rPr>
          <w:rStyle w:val="Emphasis"/>
        </w:rPr>
        <w:t>almost all</w:t>
      </w:r>
      <w:r w:rsidRPr="005E74CB">
        <w:rPr>
          <w:rStyle w:val="StyleUnderline"/>
        </w:rPr>
        <w:t xml:space="preserve"> means </w:t>
      </w:r>
      <w:r w:rsidRPr="005E74CB">
        <w:rPr>
          <w:rStyle w:val="Emphasis"/>
        </w:rPr>
        <w:t>over 90%</w:t>
      </w:r>
    </w:p>
    <w:p w14:paraId="4CF79B37" w14:textId="77777777" w:rsidR="008A64D6" w:rsidRPr="005E74CB" w:rsidRDefault="008A64D6" w:rsidP="005E74CB">
      <w:pPr>
        <w:rPr>
          <w:rStyle w:val="StyleUnderline"/>
        </w:rPr>
      </w:pPr>
    </w:p>
    <w:p w14:paraId="00480016" w14:textId="46B5D5BF" w:rsidR="008B202C" w:rsidRDefault="008B202C" w:rsidP="00BA1E61">
      <w:pPr>
        <w:pStyle w:val="Heading2"/>
      </w:pPr>
      <w:r>
        <w:lastRenderedPageBreak/>
        <w:t>Venezuela Violation</w:t>
      </w:r>
    </w:p>
    <w:p w14:paraId="36029B33" w14:textId="77777777" w:rsidR="008B202C" w:rsidRPr="00E50C45" w:rsidRDefault="008B202C" w:rsidP="008B202C">
      <w:pPr>
        <w:pStyle w:val="Heading4"/>
      </w:pPr>
      <w:r w:rsidRPr="00E50C45">
        <w:t xml:space="preserve">No matter how you quantify sanctions (sectors, economic impact or targeted entities), the </w:t>
      </w:r>
      <w:proofErr w:type="spellStart"/>
      <w:r w:rsidRPr="00E50C45">
        <w:t>aff</w:t>
      </w:r>
      <w:proofErr w:type="spellEnd"/>
      <w:r w:rsidRPr="00E50C45">
        <w:t xml:space="preserve"> is </w:t>
      </w:r>
      <w:r w:rsidRPr="00E50C45">
        <w:rPr>
          <w:u w:val="single"/>
        </w:rPr>
        <w:t xml:space="preserve">far from </w:t>
      </w:r>
      <w:r w:rsidRPr="00E50C45">
        <w:t>‘nearly all’.</w:t>
      </w:r>
    </w:p>
    <w:p w14:paraId="1D08D65C" w14:textId="77777777" w:rsidR="008B202C" w:rsidRPr="00E50C45" w:rsidRDefault="008B202C" w:rsidP="008B202C">
      <w:pPr>
        <w:autoSpaceDE w:val="0"/>
        <w:autoSpaceDN w:val="0"/>
        <w:adjustRightInd w:val="0"/>
        <w:spacing w:after="0" w:line="240" w:lineRule="auto"/>
        <w:rPr>
          <w:rStyle w:val="Style13ptBold"/>
        </w:rPr>
      </w:pPr>
      <w:proofErr w:type="spellStart"/>
      <w:r w:rsidRPr="00E50C45">
        <w:rPr>
          <w:rStyle w:val="Style13ptBold"/>
        </w:rPr>
        <w:t>Venezuelanalysis</w:t>
      </w:r>
      <w:proofErr w:type="spellEnd"/>
      <w:r w:rsidRPr="00E50C45">
        <w:rPr>
          <w:rStyle w:val="Style13ptBold"/>
        </w:rPr>
        <w:t xml:space="preserve"> 23</w:t>
      </w:r>
      <w:r w:rsidRPr="00E50C45">
        <w:rPr>
          <w:rStyle w:val="Style13ptBold"/>
          <w:b w:val="0"/>
          <w:bCs w:val="0"/>
          <w:sz w:val="16"/>
          <w:szCs w:val="16"/>
        </w:rPr>
        <w:t xml:space="preserve"> [(The Blockade Against Venezuela: Measures and Consequences) https://venezuelanalysis.com/infographics/15295/, 03/01/2023] TDI</w:t>
      </w:r>
    </w:p>
    <w:p w14:paraId="7714514C" w14:textId="77777777" w:rsidR="008B202C" w:rsidRDefault="008B202C" w:rsidP="008B202C">
      <w:r w:rsidRPr="00E50C45">
        <w:rPr>
          <w:rStyle w:val="StyleUnderline"/>
        </w:rPr>
        <w:t>In recent years, the United States</w:t>
      </w:r>
      <w:r>
        <w:t xml:space="preserve"> and its allies have </w:t>
      </w:r>
      <w:r w:rsidRPr="00E50C45">
        <w:rPr>
          <w:rStyle w:val="StyleUnderline"/>
        </w:rPr>
        <w:t>unleashed a devastating blockade against Venezuela, targeting</w:t>
      </w:r>
      <w:r>
        <w:t xml:space="preserve"> virtually </w:t>
      </w:r>
      <w:r w:rsidRPr="00E50C45">
        <w:rPr>
          <w:rStyle w:val="StyleUnderline"/>
        </w:rPr>
        <w:t>all sectors of the economy</w:t>
      </w:r>
      <w:r>
        <w:t>, in hopes of triggering regime change. In this infographic, we detail the measures and deadly consequences of this multi-pronged aggression.</w:t>
      </w:r>
    </w:p>
    <w:p w14:paraId="617FD48E" w14:textId="77777777" w:rsidR="008B202C" w:rsidRDefault="008B202C" w:rsidP="008B202C">
      <w:r>
        <w:lastRenderedPageBreak/>
        <w:fldChar w:fldCharType="begin"/>
      </w:r>
      <w:r>
        <w:instrText xml:space="preserve"> INCLUDEPICTURE "https://venezuelanalysis.com/wp-content/uploads/2023/02/blockade-2-v05b.jpg.webp" \* MERGEFORMATINET </w:instrText>
      </w:r>
      <w:r>
        <w:fldChar w:fldCharType="separate"/>
      </w:r>
      <w:r>
        <w:rPr>
          <w:noProof/>
        </w:rPr>
        <w:drawing>
          <wp:inline distT="0" distB="0" distL="0" distR="0" wp14:anchorId="076CE3B2" wp14:editId="25759945">
            <wp:extent cx="4349750" cy="8229600"/>
            <wp:effectExtent l="0" t="0" r="0" b="0"/>
            <wp:docPr id="622524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2468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49750" cy="8229600"/>
                    </a:xfrm>
                    <a:prstGeom prst="rect">
                      <a:avLst/>
                    </a:prstGeom>
                    <a:noFill/>
                    <a:ln>
                      <a:noFill/>
                    </a:ln>
                  </pic:spPr>
                </pic:pic>
              </a:graphicData>
            </a:graphic>
          </wp:inline>
        </w:drawing>
      </w:r>
      <w:r>
        <w:fldChar w:fldCharType="end"/>
      </w:r>
    </w:p>
    <w:p w14:paraId="7DE1AE2F" w14:textId="77777777" w:rsidR="008B202C" w:rsidRPr="008B202C" w:rsidRDefault="008B202C" w:rsidP="008B202C"/>
    <w:p w14:paraId="6E15D564" w14:textId="0AA53DFE" w:rsidR="00BA1E61" w:rsidRPr="00927104" w:rsidRDefault="00BA1E61" w:rsidP="00BA1E61">
      <w:pPr>
        <w:pStyle w:val="Heading2"/>
      </w:pPr>
      <w:r w:rsidRPr="00927104">
        <w:lastRenderedPageBreak/>
        <w:t>of</w:t>
      </w:r>
    </w:p>
    <w:p w14:paraId="57489D03" w14:textId="210B05AE" w:rsidR="000F18E7" w:rsidRPr="00927104" w:rsidRDefault="000F18E7" w:rsidP="000F18E7">
      <w:pPr>
        <w:pStyle w:val="Heading3"/>
      </w:pPr>
      <w:r w:rsidRPr="00927104">
        <w:lastRenderedPageBreak/>
        <w:t>of = object</w:t>
      </w:r>
    </w:p>
    <w:p w14:paraId="56D06B4B" w14:textId="0BE086C3" w:rsidR="009C4DD3" w:rsidRPr="00927104" w:rsidRDefault="009C4DD3" w:rsidP="009C4DD3">
      <w:pPr>
        <w:pStyle w:val="Heading4"/>
      </w:pPr>
      <w:r w:rsidRPr="00927104">
        <w:t xml:space="preserve">‘Of’ indicates the </w:t>
      </w:r>
      <w:r w:rsidRPr="00927104">
        <w:rPr>
          <w:u w:val="single"/>
        </w:rPr>
        <w:t>object</w:t>
      </w:r>
      <w:r w:rsidRPr="00927104">
        <w:t xml:space="preserve"> of the action. </w:t>
      </w:r>
    </w:p>
    <w:p w14:paraId="4AD519B0" w14:textId="3040435F" w:rsidR="009C4DD3" w:rsidRPr="00927104" w:rsidRDefault="009C4DD3" w:rsidP="009C4DD3">
      <w:r w:rsidRPr="00927104">
        <w:rPr>
          <w:rStyle w:val="Style13ptBold"/>
        </w:rPr>
        <w:t>Meriam Webster ’ND</w:t>
      </w:r>
      <w:r w:rsidR="00B549D4" w:rsidRPr="00927104">
        <w:t xml:space="preserve"> [“of.” </w:t>
      </w:r>
      <w:r w:rsidR="00EC7FC0" w:rsidRPr="00927104">
        <w:t>https://www.merriam-webster.com/dictionary/of</w:t>
      </w:r>
      <w:r w:rsidR="00B549D4" w:rsidRPr="00927104">
        <w:t>]</w:t>
      </w:r>
      <w:r w:rsidR="00EC7FC0" w:rsidRPr="00927104">
        <w:t xml:space="preserve"> TDI</w:t>
      </w:r>
    </w:p>
    <w:p w14:paraId="30FCC037" w14:textId="740381F8" w:rsidR="00BA1E61" w:rsidRPr="00927104" w:rsidRDefault="009C4DD3" w:rsidP="00BA1E61">
      <w:pPr>
        <w:rPr>
          <w:rStyle w:val="StyleUnderline"/>
        </w:rPr>
      </w:pPr>
      <w:r w:rsidRPr="00927104">
        <w:rPr>
          <w:rStyle w:val="StyleUnderline"/>
        </w:rPr>
        <w:t xml:space="preserve">used as a </w:t>
      </w:r>
      <w:r w:rsidRPr="00927104">
        <w:rPr>
          <w:rStyle w:val="Emphasis"/>
        </w:rPr>
        <w:t>function word</w:t>
      </w:r>
      <w:r w:rsidRPr="00927104">
        <w:rPr>
          <w:rStyle w:val="StyleUnderline"/>
        </w:rPr>
        <w:t xml:space="preserve"> to indicate the </w:t>
      </w:r>
      <w:r w:rsidRPr="00927104">
        <w:rPr>
          <w:rStyle w:val="Emphasis"/>
        </w:rPr>
        <w:t>object of an action</w:t>
      </w:r>
      <w:r w:rsidRPr="00927104">
        <w:rPr>
          <w:sz w:val="16"/>
          <w:szCs w:val="16"/>
        </w:rPr>
        <w:t xml:space="preserve"> denoted or implied by the preceding noun</w:t>
      </w:r>
    </w:p>
    <w:p w14:paraId="12C91665" w14:textId="77777777" w:rsidR="00FE2A62" w:rsidRPr="00927104" w:rsidRDefault="00FE2A62" w:rsidP="00FE2A62">
      <w:pPr>
        <w:rPr>
          <w:sz w:val="16"/>
        </w:rPr>
      </w:pPr>
    </w:p>
    <w:p w14:paraId="646E574F" w14:textId="2A0C169C" w:rsidR="001A5DDA" w:rsidRPr="00927104" w:rsidRDefault="001A5DDA" w:rsidP="006D0A44">
      <w:pPr>
        <w:pStyle w:val="Heading2"/>
      </w:pPr>
      <w:r w:rsidRPr="00927104">
        <w:lastRenderedPageBreak/>
        <w:t>its</w:t>
      </w:r>
    </w:p>
    <w:p w14:paraId="4D3E85F5" w14:textId="2B18E412" w:rsidR="00FC1265" w:rsidRPr="00927104" w:rsidRDefault="00FC1265" w:rsidP="00FC1265">
      <w:pPr>
        <w:pStyle w:val="Heading3"/>
      </w:pPr>
      <w:r w:rsidRPr="00927104">
        <w:lastRenderedPageBreak/>
        <w:t>its = possessive</w:t>
      </w:r>
    </w:p>
    <w:p w14:paraId="48C5F662" w14:textId="6C65959B" w:rsidR="005F0DD4" w:rsidRPr="00927104" w:rsidRDefault="00B26E08" w:rsidP="00B26E08">
      <w:pPr>
        <w:pStyle w:val="Heading4"/>
      </w:pPr>
      <w:r w:rsidRPr="00927104">
        <w:t xml:space="preserve">‘Its’ is </w:t>
      </w:r>
      <w:r w:rsidRPr="00927104">
        <w:rPr>
          <w:u w:val="single"/>
        </w:rPr>
        <w:t>possessive</w:t>
      </w:r>
      <w:r w:rsidRPr="00927104">
        <w:t xml:space="preserve"> </w:t>
      </w:r>
      <w:r w:rsidR="000240B2" w:rsidRPr="00927104">
        <w:t>&amp;</w:t>
      </w:r>
      <w:r w:rsidRPr="00927104">
        <w:t xml:space="preserve"> </w:t>
      </w:r>
      <w:r w:rsidRPr="00927104">
        <w:rPr>
          <w:u w:val="single"/>
        </w:rPr>
        <w:t>exclusive</w:t>
      </w:r>
      <w:r w:rsidRPr="00927104">
        <w:t>.</w:t>
      </w:r>
    </w:p>
    <w:p w14:paraId="6D89DAB3" w14:textId="56649467" w:rsidR="005F0DD4" w:rsidRPr="00927104" w:rsidRDefault="005F0DD4" w:rsidP="00F32388">
      <w:r w:rsidRPr="00927104">
        <w:rPr>
          <w:rStyle w:val="Style13ptBold"/>
        </w:rPr>
        <w:t>Brent ’10</w:t>
      </w:r>
      <w:r w:rsidRPr="00927104">
        <w:t xml:space="preserve"> [Douglas; </w:t>
      </w:r>
      <w:r w:rsidR="001B30EC" w:rsidRPr="00927104">
        <w:t>A</w:t>
      </w:r>
      <w:r w:rsidRPr="00927104">
        <w:t>ttorney</w:t>
      </w:r>
      <w:r w:rsidR="001B30EC" w:rsidRPr="00927104">
        <w:t xml:space="preserve">. </w:t>
      </w:r>
      <w:r w:rsidRPr="00927104">
        <w:t>“Reply Brief on Threshold Issues of Cricket Communications, Inc.”</w:t>
      </w:r>
      <w:r w:rsidR="002A095F" w:rsidRPr="00927104">
        <w:t xml:space="preserve"> </w:t>
      </w:r>
      <w:r w:rsidRPr="00093287">
        <w:t>http://psc.ky.gov/PSCSCF/2010%20cases/2010-00131/20100602_Crickets_Reply_Brief_on_Threshold_Issues.PDF</w:t>
      </w:r>
      <w:r w:rsidRPr="00927104">
        <w:t xml:space="preserve">] </w:t>
      </w:r>
      <w:r w:rsidR="00521B8C" w:rsidRPr="00927104">
        <w:t>TDI</w:t>
      </w:r>
    </w:p>
    <w:p w14:paraId="5C9801B5" w14:textId="77777777" w:rsidR="005F0DD4" w:rsidRPr="00927104" w:rsidRDefault="005F0DD4" w:rsidP="000E30A2">
      <w:pPr>
        <w:rPr>
          <w:sz w:val="16"/>
        </w:rPr>
      </w:pPr>
      <w:r w:rsidRPr="00927104">
        <w:rPr>
          <w:sz w:val="16"/>
        </w:rPr>
        <w:t xml:space="preserve">AT&amp;T also argues that Merger Commitment 7.4 only permits extension of “any given” interconnection agreement for a single </w:t>
      </w:r>
      <w:proofErr w:type="gramStart"/>
      <w:r w:rsidRPr="00927104">
        <w:rPr>
          <w:sz w:val="16"/>
        </w:rPr>
        <w:t>three year</w:t>
      </w:r>
      <w:proofErr w:type="gramEnd"/>
      <w:r w:rsidRPr="00927104">
        <w:rPr>
          <w:sz w:val="16"/>
        </w:rPr>
        <w:t xml:space="preserve"> term. AT&amp;T Brief at 12. Specifically, AT&amp;T asserts that because Cricket adopted the interconnection agreement between Sprint and AT&amp;T, which itself was extended, Cricket is precluded from extending the term of its agreement with AT&amp;T. Id This argument relies upon an inaccurate assumption: that the agreement (contract) between Sprint and AT&amp;T, and the agreement (contract) between Cricket and AT&amp;T, are one and the same. In other words, to accept AT&amp;T’s argument the Commission must conclude that two separate contracts, i.e. the interconnection between Sprint and AT&amp;T in Kentucky (“Sprint Kentucky Agreement”) and the interconnection between Cricket and AT&amp;T in Kentucky (“Cricket Kentucky Agreement”), are one and the same. Upon this unstated (and inaccurate) premise AT&amp;T asserts that “the ICA was already extended</w:t>
      </w:r>
      <w:proofErr w:type="gramStart"/>
      <w:r w:rsidRPr="00927104">
        <w:rPr>
          <w:sz w:val="16"/>
        </w:rPr>
        <w:t>”;</w:t>
      </w:r>
      <w:proofErr w:type="gramEnd"/>
      <w:r w:rsidRPr="00927104">
        <w:rPr>
          <w:sz w:val="16"/>
        </w:rPr>
        <w:t xml:space="preserve"> id. at 14, and “the ICA Cricket seeks to extend was extended by Sprint </w:t>
      </w:r>
      <w:proofErr w:type="gramStart"/>
      <w:r w:rsidRPr="00927104">
        <w:rPr>
          <w:sz w:val="16"/>
        </w:rPr>
        <w:t>. . . .</w:t>
      </w:r>
      <w:proofErr w:type="gramEnd"/>
      <w:r w:rsidRPr="00927104">
        <w:rPr>
          <w:sz w:val="16"/>
        </w:rPr>
        <w:t xml:space="preserve">”; id. at 15, and, finally, “Cricket cannot extend the same ICA a second time </w:t>
      </w:r>
      <w:proofErr w:type="gramStart"/>
      <w:r w:rsidRPr="00927104">
        <w:rPr>
          <w:sz w:val="16"/>
        </w:rPr>
        <w:t>. . . .</w:t>
      </w:r>
      <w:proofErr w:type="gramEnd"/>
      <w:r w:rsidRPr="00927104">
        <w:rPr>
          <w:sz w:val="16"/>
        </w:rPr>
        <w:t xml:space="preserve">” Id. (emphasis added in all). Note that in the quoted portions of the AT&amp;T brief (and elsewhere) AT&amp;T uses vague and imprecise language when referring to either the Sprint Kentucky Agreement, or the Cricket Kentucky Agreement, in hopes that the Commission will treat the two contracts as one and the same. But it would be a mistake to do so. The contract governing AT&amp;T’s duties and obligations with Sprint is a legally distinct and separate contract from that which governs AT&amp;T’s duties with Cricket. The Sprint Kentucky Agreement was approved by the Commission in September of 2001 in Case Number 2000-00480. The Cricket Kentucky Agreement was approved by the Commission in September of 2008 in Case Number 2008-033 1. AT&amp;T ignores the fact that these are two separate and distinct contracts because it knows that the merger commitments apply to each agreement that an individual telecommunications carrier has with AT&amp;T. Notably, Merger Commitment 7.4 states that “AT&amp;T/BellSouth ILECs shall permit a requesting telecommunications carrier to extend its current interconnection agreement </w:t>
      </w:r>
      <w:proofErr w:type="gramStart"/>
      <w:r w:rsidRPr="00927104">
        <w:rPr>
          <w:sz w:val="16"/>
        </w:rPr>
        <w:t>. . . .</w:t>
      </w:r>
      <w:proofErr w:type="gramEnd"/>
      <w:r w:rsidRPr="00927104">
        <w:rPr>
          <w:sz w:val="16"/>
        </w:rPr>
        <w:t xml:space="preserve"> As written, the commitment allows any carrier to extend “its” agreement. Clearly, the </w:t>
      </w:r>
      <w:r w:rsidRPr="00927104">
        <w:rPr>
          <w:rStyle w:val="StyleUnderline"/>
        </w:rPr>
        <w:t>use of the pronoun</w:t>
      </w:r>
      <w:r w:rsidRPr="00927104">
        <w:rPr>
          <w:sz w:val="16"/>
        </w:rPr>
        <w:t xml:space="preserve"> “</w:t>
      </w:r>
      <w:r w:rsidRPr="00927104">
        <w:rPr>
          <w:rStyle w:val="Emphasis"/>
        </w:rPr>
        <w:t>its</w:t>
      </w:r>
      <w:r w:rsidRPr="00927104">
        <w:rPr>
          <w:sz w:val="16"/>
        </w:rPr>
        <w:t xml:space="preserve">” in this context </w:t>
      </w:r>
      <w:r w:rsidRPr="00927104">
        <w:rPr>
          <w:rStyle w:val="StyleUnderline"/>
        </w:rPr>
        <w:t>is possessive</w:t>
      </w:r>
      <w:r w:rsidRPr="00927104">
        <w:rPr>
          <w:sz w:val="16"/>
        </w:rPr>
        <w:t xml:space="preserve">, such that </w:t>
      </w:r>
      <w:r w:rsidRPr="00927104">
        <w:rPr>
          <w:rStyle w:val="StyleUnderline"/>
        </w:rPr>
        <w:t>the term</w:t>
      </w:r>
      <w:r w:rsidRPr="00927104">
        <w:rPr>
          <w:sz w:val="16"/>
        </w:rPr>
        <w:t xml:space="preserve"> “</w:t>
      </w:r>
      <w:r w:rsidRPr="00927104">
        <w:rPr>
          <w:rStyle w:val="Emphasis"/>
        </w:rPr>
        <w:t>its</w:t>
      </w:r>
      <w:r w:rsidRPr="00927104">
        <w:rPr>
          <w:sz w:val="16"/>
        </w:rPr>
        <w:t xml:space="preserve">” </w:t>
      </w:r>
      <w:r w:rsidRPr="00927104">
        <w:rPr>
          <w:rStyle w:val="StyleUnderline"/>
        </w:rPr>
        <w:t>means</w:t>
      </w:r>
      <w:r w:rsidRPr="00927104">
        <w:rPr>
          <w:sz w:val="16"/>
        </w:rPr>
        <w:t xml:space="preserve"> - </w:t>
      </w:r>
      <w:r w:rsidRPr="00927104">
        <w:rPr>
          <w:rStyle w:val="StyleUnderline"/>
        </w:rPr>
        <w:t xml:space="preserve">that </w:t>
      </w:r>
      <w:proofErr w:type="gramStart"/>
      <w:r w:rsidRPr="00927104">
        <w:rPr>
          <w:rStyle w:val="Emphasis"/>
        </w:rPr>
        <w:t>particular carrier’s</w:t>
      </w:r>
      <w:proofErr w:type="gramEnd"/>
      <w:r w:rsidRPr="00927104">
        <w:rPr>
          <w:rStyle w:val="StyleUnderline"/>
        </w:rPr>
        <w:t xml:space="preserve"> agreement with AT&amp;T</w:t>
      </w:r>
      <w:r w:rsidRPr="00927104">
        <w:rPr>
          <w:sz w:val="16"/>
        </w:rPr>
        <w:t xml:space="preserve"> (</w:t>
      </w:r>
      <w:r w:rsidRPr="00927104">
        <w:rPr>
          <w:rStyle w:val="StyleUnderline"/>
        </w:rPr>
        <w:t xml:space="preserve">and not </w:t>
      </w:r>
      <w:r w:rsidRPr="00927104">
        <w:rPr>
          <w:rStyle w:val="Emphasis"/>
        </w:rPr>
        <w:t>any other carrier’s</w:t>
      </w:r>
      <w:r w:rsidRPr="00927104">
        <w:rPr>
          <w:rStyle w:val="StyleUnderline"/>
        </w:rPr>
        <w:t xml:space="preserve"> agreement</w:t>
      </w:r>
      <w:r w:rsidRPr="00927104">
        <w:rPr>
          <w:sz w:val="16"/>
        </w:rPr>
        <w:t xml:space="preserve">). Thus, the merger commitment applies to each agreement that an individual carrier may have with AT&amp;T. It necessarily follows then, that Cricket’s right to extend its agreement under Merger Commitment 7.4 is separate and distinct right from another carrier’s right to extend its agreement with AT&amp;T (or whether such agreement has been extended). </w:t>
      </w:r>
    </w:p>
    <w:p w14:paraId="30843811" w14:textId="77777777" w:rsidR="001A5DDA" w:rsidRPr="00927104" w:rsidRDefault="001A5DDA" w:rsidP="001A5DDA">
      <w:pPr>
        <w:rPr>
          <w:sz w:val="16"/>
        </w:rPr>
      </w:pPr>
    </w:p>
    <w:p w14:paraId="598AC87D" w14:textId="4E654762" w:rsidR="00687E5C" w:rsidRPr="00927104" w:rsidRDefault="006D0A44" w:rsidP="006D0A44">
      <w:pPr>
        <w:pStyle w:val="Heading2"/>
      </w:pPr>
      <w:r w:rsidRPr="00927104">
        <w:lastRenderedPageBreak/>
        <w:t>economic sanctions</w:t>
      </w:r>
    </w:p>
    <w:p w14:paraId="07B07EC1" w14:textId="77777777" w:rsidR="007652E3" w:rsidRPr="00927104" w:rsidRDefault="007652E3" w:rsidP="007652E3">
      <w:pPr>
        <w:pStyle w:val="Heading3"/>
      </w:pPr>
      <w:r w:rsidRPr="00927104">
        <w:lastRenderedPageBreak/>
        <w:t>economic sanctions = withdrawal of trade</w:t>
      </w:r>
    </w:p>
    <w:p w14:paraId="18FB7720" w14:textId="77777777" w:rsidR="007652E3" w:rsidRPr="00927104" w:rsidRDefault="007652E3" w:rsidP="007652E3">
      <w:pPr>
        <w:pStyle w:val="Heading4"/>
      </w:pPr>
      <w:r w:rsidRPr="00927104">
        <w:t xml:space="preserve">‘Economic sanctions’ are </w:t>
      </w:r>
      <w:r w:rsidRPr="00927104">
        <w:rPr>
          <w:u w:val="single"/>
        </w:rPr>
        <w:t>withdrawal</w:t>
      </w:r>
      <w:r w:rsidRPr="00927104">
        <w:t xml:space="preserve"> of trade and financial relations</w:t>
      </w:r>
    </w:p>
    <w:p w14:paraId="0215C545" w14:textId="77777777" w:rsidR="007652E3" w:rsidRPr="00927104" w:rsidRDefault="007652E3" w:rsidP="007652E3">
      <w:r w:rsidRPr="00927104">
        <w:rPr>
          <w:rStyle w:val="Style13ptBold"/>
        </w:rPr>
        <w:t xml:space="preserve">Elliott &amp; </w:t>
      </w:r>
      <w:proofErr w:type="spellStart"/>
      <w:r w:rsidRPr="00927104">
        <w:rPr>
          <w:rStyle w:val="Style13ptBold"/>
        </w:rPr>
        <w:t>Hufbauer</w:t>
      </w:r>
      <w:proofErr w:type="spellEnd"/>
      <w:r w:rsidRPr="00927104">
        <w:rPr>
          <w:rStyle w:val="Style13ptBold"/>
        </w:rPr>
        <w:t xml:space="preserve"> ’07</w:t>
      </w:r>
      <w:r w:rsidRPr="00927104">
        <w:t xml:space="preserve"> [Kimberly Ann; Research associate. Gary Clyde; Reginald Jones Senior Fellow, Institute for International Economics. “Sanctions.” https://www.econlib.org/library/Enc1/Sanctions.html] TDI</w:t>
      </w:r>
    </w:p>
    <w:p w14:paraId="183D95DA" w14:textId="77777777" w:rsidR="007652E3" w:rsidRPr="00927104" w:rsidRDefault="007652E3" w:rsidP="007652E3">
      <w:pPr>
        <w:rPr>
          <w:sz w:val="16"/>
        </w:rPr>
      </w:pPr>
      <w:r w:rsidRPr="00927104">
        <w:rPr>
          <w:sz w:val="16"/>
        </w:rPr>
        <w:t xml:space="preserve">Students of international law frequently argue that only economic measures deployed against states that have violated international standards or obligations may properly be classified as "sanctions." According to this view </w:t>
      </w:r>
      <w:r w:rsidRPr="00927104">
        <w:rPr>
          <w:rStyle w:val="StyleUnderline"/>
        </w:rPr>
        <w:t xml:space="preserve">sanctions </w:t>
      </w:r>
      <w:r w:rsidRPr="00927104">
        <w:rPr>
          <w:rStyle w:val="Emphasis"/>
        </w:rPr>
        <w:t>should be distinguished</w:t>
      </w:r>
      <w:r w:rsidRPr="00927104">
        <w:rPr>
          <w:rStyle w:val="StyleUnderline"/>
        </w:rPr>
        <w:t xml:space="preserve"> from national uses of economic power in pursuit of </w:t>
      </w:r>
      <w:r w:rsidRPr="00927104">
        <w:rPr>
          <w:rStyle w:val="Emphasis"/>
        </w:rPr>
        <w:t>narrow national interests</w:t>
      </w:r>
      <w:r w:rsidRPr="00927104">
        <w:rPr>
          <w:sz w:val="16"/>
        </w:rPr>
        <w:t xml:space="preserve">. But </w:t>
      </w:r>
      <w:r w:rsidRPr="00927104">
        <w:rPr>
          <w:sz w:val="16"/>
          <w:szCs w:val="16"/>
        </w:rPr>
        <w:t>common usage of the term economic sanctions typically encompasses both types of actions. The broader</w:t>
      </w:r>
      <w:r w:rsidRPr="00927104">
        <w:rPr>
          <w:sz w:val="16"/>
        </w:rPr>
        <w:t xml:space="preserve"> meaning is used here. Specifically, </w:t>
      </w:r>
      <w:r w:rsidRPr="00927104">
        <w:rPr>
          <w:rStyle w:val="Emphasis"/>
        </w:rPr>
        <w:t>economic sanctions</w:t>
      </w:r>
      <w:r w:rsidRPr="00927104">
        <w:rPr>
          <w:rStyle w:val="StyleUnderline"/>
        </w:rPr>
        <w:t xml:space="preserve"> are the deliberate</w:t>
      </w:r>
      <w:r w:rsidRPr="00927104">
        <w:rPr>
          <w:sz w:val="16"/>
        </w:rPr>
        <w:t xml:space="preserve">, </w:t>
      </w:r>
      <w:r w:rsidRPr="00927104">
        <w:rPr>
          <w:rStyle w:val="StyleUnderline"/>
        </w:rPr>
        <w:t>government-inspired withdrawal</w:t>
      </w:r>
      <w:r w:rsidRPr="00927104">
        <w:rPr>
          <w:sz w:val="16"/>
        </w:rPr>
        <w:t xml:space="preserve">, or threat of withdrawal, </w:t>
      </w:r>
      <w:r w:rsidRPr="00927104">
        <w:rPr>
          <w:rStyle w:val="StyleUnderline"/>
        </w:rPr>
        <w:t xml:space="preserve">of </w:t>
      </w:r>
      <w:r w:rsidRPr="00927104">
        <w:rPr>
          <w:rStyle w:val="Emphasis"/>
        </w:rPr>
        <w:t>customary trade</w:t>
      </w:r>
      <w:r w:rsidRPr="00927104">
        <w:rPr>
          <w:rStyle w:val="StyleUnderline"/>
        </w:rPr>
        <w:t xml:space="preserve"> or </w:t>
      </w:r>
      <w:r w:rsidRPr="00927104">
        <w:rPr>
          <w:rStyle w:val="Emphasis"/>
        </w:rPr>
        <w:t>financial relations</w:t>
      </w:r>
      <w:r w:rsidRPr="00927104">
        <w:rPr>
          <w:sz w:val="16"/>
        </w:rPr>
        <w:t>. ("Customary" refers to the levels of trade or financial activity that would probably have occurred in the absence of sanctions.)</w:t>
      </w:r>
    </w:p>
    <w:p w14:paraId="0DAA7F01" w14:textId="77777777" w:rsidR="007652E3" w:rsidRPr="00927104" w:rsidRDefault="007652E3" w:rsidP="007652E3">
      <w:pPr>
        <w:rPr>
          <w:sz w:val="16"/>
        </w:rPr>
      </w:pPr>
    </w:p>
    <w:p w14:paraId="0E7A9B50" w14:textId="5379E195" w:rsidR="00F265EC" w:rsidRPr="00927104" w:rsidRDefault="00F265EC" w:rsidP="00F265EC">
      <w:pPr>
        <w:pStyle w:val="Heading3"/>
      </w:pPr>
      <w:r w:rsidRPr="00927104">
        <w:lastRenderedPageBreak/>
        <w:t>economic sanctions = broad</w:t>
      </w:r>
    </w:p>
    <w:p w14:paraId="2F7A3FD7" w14:textId="05CF89D6" w:rsidR="000B37D3" w:rsidRPr="00927104" w:rsidRDefault="00086D35" w:rsidP="00086D35">
      <w:pPr>
        <w:pStyle w:val="Heading4"/>
      </w:pPr>
      <w:r w:rsidRPr="00927104">
        <w:t xml:space="preserve">‘Economic sanctions’ are </w:t>
      </w:r>
      <w:r w:rsidRPr="00927104">
        <w:rPr>
          <w:u w:val="single"/>
        </w:rPr>
        <w:t>actions</w:t>
      </w:r>
      <w:r w:rsidRPr="00927104">
        <w:t xml:space="preserve"> taken against a national economy.</w:t>
      </w:r>
    </w:p>
    <w:p w14:paraId="0DA14779" w14:textId="4A0F3674" w:rsidR="00AD37B7" w:rsidRPr="00927104" w:rsidRDefault="00AD37B7" w:rsidP="00AD37B7">
      <w:r w:rsidRPr="00927104">
        <w:rPr>
          <w:rStyle w:val="Style13ptBold"/>
        </w:rPr>
        <w:t xml:space="preserve">Cambridge </w:t>
      </w:r>
      <w:r w:rsidR="00692449" w:rsidRPr="00927104">
        <w:rPr>
          <w:rStyle w:val="Style13ptBold"/>
        </w:rPr>
        <w:t>’</w:t>
      </w:r>
      <w:r w:rsidRPr="00927104">
        <w:rPr>
          <w:rStyle w:val="Style13ptBold"/>
        </w:rPr>
        <w:t>ND</w:t>
      </w:r>
      <w:r w:rsidRPr="00927104">
        <w:t xml:space="preserve"> [</w:t>
      </w:r>
      <w:r w:rsidR="00AD1CAB" w:rsidRPr="00927104">
        <w:t xml:space="preserve">“economic sanctions.” </w:t>
      </w:r>
      <w:r w:rsidR="0072260E" w:rsidRPr="00927104">
        <w:t>https://dictionary.cambridge.org/us/dictionary/english/economic-sanctions</w:t>
      </w:r>
      <w:r w:rsidRPr="00927104">
        <w:t>]</w:t>
      </w:r>
      <w:r w:rsidR="0072260E" w:rsidRPr="00927104">
        <w:t xml:space="preserve"> TDI</w:t>
      </w:r>
    </w:p>
    <w:p w14:paraId="0A12E9FE" w14:textId="6D9E8153" w:rsidR="00F265EC" w:rsidRPr="00927104" w:rsidRDefault="00F265EC" w:rsidP="006D0A44">
      <w:pPr>
        <w:rPr>
          <w:sz w:val="16"/>
        </w:rPr>
      </w:pPr>
      <w:r w:rsidRPr="00927104">
        <w:rPr>
          <w:rStyle w:val="StyleUnderline"/>
        </w:rPr>
        <w:t xml:space="preserve">actions taken by a country or organization against the economy of </w:t>
      </w:r>
      <w:r w:rsidRPr="00927104">
        <w:rPr>
          <w:rStyle w:val="Emphasis"/>
        </w:rPr>
        <w:t>another country</w:t>
      </w:r>
      <w:r w:rsidRPr="00927104">
        <w:rPr>
          <w:sz w:val="16"/>
        </w:rPr>
        <w:t xml:space="preserve">, </w:t>
      </w:r>
      <w:r w:rsidRPr="00927104">
        <w:rPr>
          <w:rStyle w:val="StyleUnderline"/>
        </w:rPr>
        <w:t xml:space="preserve">such as refusing to </w:t>
      </w:r>
      <w:r w:rsidRPr="00927104">
        <w:rPr>
          <w:rStyle w:val="Emphasis"/>
        </w:rPr>
        <w:t>trade with it</w:t>
      </w:r>
      <w:r w:rsidRPr="00927104">
        <w:rPr>
          <w:sz w:val="16"/>
        </w:rPr>
        <w:t xml:space="preserve">, </w:t>
      </w:r>
      <w:proofErr w:type="gramStart"/>
      <w:r w:rsidRPr="00927104">
        <w:rPr>
          <w:sz w:val="16"/>
        </w:rPr>
        <w:t>in order to</w:t>
      </w:r>
      <w:proofErr w:type="gramEnd"/>
      <w:r w:rsidRPr="00927104">
        <w:rPr>
          <w:sz w:val="16"/>
        </w:rPr>
        <w:t xml:space="preserve"> force it to obey a law or a set of rules:</w:t>
      </w:r>
    </w:p>
    <w:p w14:paraId="4BB32620" w14:textId="77777777" w:rsidR="003A25C3" w:rsidRPr="00927104" w:rsidRDefault="003A25C3" w:rsidP="006D0A44">
      <w:pPr>
        <w:rPr>
          <w:sz w:val="16"/>
        </w:rPr>
      </w:pPr>
    </w:p>
    <w:p w14:paraId="6C78BAED" w14:textId="77777777" w:rsidR="007652E3" w:rsidRPr="00927104" w:rsidRDefault="007652E3" w:rsidP="007652E3">
      <w:pPr>
        <w:pStyle w:val="Heading3"/>
      </w:pPr>
      <w:r w:rsidRPr="00927104">
        <w:lastRenderedPageBreak/>
        <w:t>economic sanctions = comprehensive or targeted</w:t>
      </w:r>
    </w:p>
    <w:p w14:paraId="6EA815A0" w14:textId="77777777" w:rsidR="007652E3" w:rsidRPr="00927104" w:rsidRDefault="007652E3" w:rsidP="007652E3">
      <w:pPr>
        <w:pStyle w:val="Heading4"/>
      </w:pPr>
      <w:r w:rsidRPr="00927104">
        <w:t xml:space="preserve">‘Economic sanctions’ are withdrawal of </w:t>
      </w:r>
      <w:r w:rsidRPr="00927104">
        <w:rPr>
          <w:u w:val="single"/>
        </w:rPr>
        <w:t>financial relations</w:t>
      </w:r>
      <w:r w:rsidRPr="00927104">
        <w:t xml:space="preserve">. They can be </w:t>
      </w:r>
      <w:r w:rsidRPr="00927104">
        <w:rPr>
          <w:u w:val="single"/>
        </w:rPr>
        <w:t>comprehensive</w:t>
      </w:r>
      <w:r w:rsidRPr="00927104">
        <w:t xml:space="preserve"> or </w:t>
      </w:r>
      <w:r w:rsidRPr="00927104">
        <w:rPr>
          <w:u w:val="single"/>
        </w:rPr>
        <w:t>targeted</w:t>
      </w:r>
      <w:r w:rsidRPr="00927104">
        <w:t>.</w:t>
      </w:r>
    </w:p>
    <w:p w14:paraId="41527ACF" w14:textId="77777777" w:rsidR="007652E3" w:rsidRPr="00927104" w:rsidRDefault="007652E3" w:rsidP="007652E3">
      <w:r w:rsidRPr="00927104">
        <w:rPr>
          <w:rStyle w:val="Style13ptBold"/>
        </w:rPr>
        <w:t>Masters ’24</w:t>
      </w:r>
      <w:r w:rsidRPr="00927104">
        <w:t xml:space="preserve"> [Jonathan; Deputy Managing Editor, Council on Foreign Relations. “What Are Economic Sanctions?” https://www.cfr.org/backgrounder/what-are-economic-sanctions] TDI</w:t>
      </w:r>
    </w:p>
    <w:p w14:paraId="143E2F65" w14:textId="77777777" w:rsidR="007652E3" w:rsidRPr="00927104" w:rsidRDefault="007652E3" w:rsidP="007652E3">
      <w:pPr>
        <w:rPr>
          <w:sz w:val="16"/>
        </w:rPr>
      </w:pPr>
      <w:r w:rsidRPr="00927104">
        <w:rPr>
          <w:rStyle w:val="Emphasis"/>
        </w:rPr>
        <w:t>Economic sanctions</w:t>
      </w:r>
      <w:r w:rsidRPr="00927104">
        <w:rPr>
          <w:rStyle w:val="StyleUnderline"/>
        </w:rPr>
        <w:t xml:space="preserve"> are defined as</w:t>
      </w:r>
      <w:r w:rsidRPr="00927104">
        <w:rPr>
          <w:sz w:val="16"/>
        </w:rPr>
        <w:t xml:space="preserve"> the </w:t>
      </w:r>
      <w:r w:rsidRPr="00927104">
        <w:rPr>
          <w:rStyle w:val="StyleUnderline"/>
        </w:rPr>
        <w:t xml:space="preserve">withdrawal of </w:t>
      </w:r>
      <w:r w:rsidRPr="00927104">
        <w:rPr>
          <w:rStyle w:val="Emphasis"/>
        </w:rPr>
        <w:t>customary trade</w:t>
      </w:r>
      <w:r w:rsidRPr="00927104">
        <w:rPr>
          <w:rStyle w:val="StyleUnderline"/>
        </w:rPr>
        <w:t xml:space="preserve"> and </w:t>
      </w:r>
      <w:r w:rsidRPr="00927104">
        <w:rPr>
          <w:rStyle w:val="Emphasis"/>
        </w:rPr>
        <w:t>financial relations</w:t>
      </w:r>
      <w:r w:rsidRPr="00927104">
        <w:rPr>
          <w:rStyle w:val="StyleUnderline"/>
        </w:rPr>
        <w:t xml:space="preserve"> for foreign- and security-policy purposes</w:t>
      </w:r>
      <w:r w:rsidRPr="00927104">
        <w:rPr>
          <w:sz w:val="16"/>
        </w:rPr>
        <w:t xml:space="preserve">. </w:t>
      </w:r>
      <w:r w:rsidRPr="00927104">
        <w:rPr>
          <w:rStyle w:val="StyleUnderline"/>
        </w:rPr>
        <w:t xml:space="preserve">Sanctions may be </w:t>
      </w:r>
      <w:r w:rsidRPr="00927104">
        <w:rPr>
          <w:rStyle w:val="Emphasis"/>
        </w:rPr>
        <w:t>comprehensive</w:t>
      </w:r>
      <w:r w:rsidRPr="00927104">
        <w:rPr>
          <w:sz w:val="16"/>
        </w:rPr>
        <w:t xml:space="preserve">, </w:t>
      </w:r>
      <w:r w:rsidRPr="00927104">
        <w:rPr>
          <w:rStyle w:val="StyleUnderline"/>
        </w:rPr>
        <w:t xml:space="preserve">prohibiting commercial activity </w:t>
      </w:r>
      <w:proofErr w:type="gramStart"/>
      <w:r w:rsidRPr="00927104">
        <w:rPr>
          <w:rStyle w:val="StyleUnderline"/>
        </w:rPr>
        <w:t>with regard to</w:t>
      </w:r>
      <w:proofErr w:type="gramEnd"/>
      <w:r w:rsidRPr="00927104">
        <w:rPr>
          <w:rStyle w:val="StyleUnderline"/>
        </w:rPr>
        <w:t xml:space="preserve"> an </w:t>
      </w:r>
      <w:r w:rsidRPr="00927104">
        <w:rPr>
          <w:rStyle w:val="Emphasis"/>
        </w:rPr>
        <w:t>entire country</w:t>
      </w:r>
      <w:r w:rsidRPr="00927104">
        <w:rPr>
          <w:sz w:val="16"/>
        </w:rPr>
        <w:t xml:space="preserve">, like the long-standing U.S. embargo of Cuba, </w:t>
      </w:r>
      <w:r w:rsidRPr="00927104">
        <w:rPr>
          <w:rStyle w:val="StyleUnderline"/>
        </w:rPr>
        <w:t>or</w:t>
      </w:r>
      <w:r w:rsidRPr="00927104">
        <w:rPr>
          <w:sz w:val="16"/>
        </w:rPr>
        <w:t xml:space="preserve"> they may be </w:t>
      </w:r>
      <w:r w:rsidRPr="00927104">
        <w:rPr>
          <w:rStyle w:val="Emphasis"/>
        </w:rPr>
        <w:t>targeted</w:t>
      </w:r>
      <w:r w:rsidRPr="00927104">
        <w:rPr>
          <w:sz w:val="16"/>
        </w:rPr>
        <w:t xml:space="preserve">, </w:t>
      </w:r>
      <w:r w:rsidRPr="00927104">
        <w:rPr>
          <w:rStyle w:val="StyleUnderline"/>
        </w:rPr>
        <w:t xml:space="preserve">blocking transactions by and with </w:t>
      </w:r>
      <w:r w:rsidRPr="00927104">
        <w:rPr>
          <w:rStyle w:val="Emphasis"/>
        </w:rPr>
        <w:t>particular businesses</w:t>
      </w:r>
      <w:r w:rsidRPr="00927104">
        <w:rPr>
          <w:sz w:val="16"/>
        </w:rPr>
        <w:t xml:space="preserve">, </w:t>
      </w:r>
      <w:r w:rsidRPr="00927104">
        <w:rPr>
          <w:rStyle w:val="StyleUnderline"/>
        </w:rPr>
        <w:t>groups</w:t>
      </w:r>
      <w:r w:rsidRPr="00927104">
        <w:rPr>
          <w:sz w:val="16"/>
        </w:rPr>
        <w:t xml:space="preserve">, </w:t>
      </w:r>
      <w:r w:rsidRPr="00927104">
        <w:rPr>
          <w:rStyle w:val="StyleUnderline"/>
        </w:rPr>
        <w:t>or individuals</w:t>
      </w:r>
      <w:r w:rsidRPr="00927104">
        <w:rPr>
          <w:sz w:val="16"/>
        </w:rPr>
        <w:t>.</w:t>
      </w:r>
    </w:p>
    <w:p w14:paraId="30ACE127" w14:textId="77777777" w:rsidR="007652E3" w:rsidRPr="00927104" w:rsidRDefault="007652E3" w:rsidP="007652E3">
      <w:pPr>
        <w:rPr>
          <w:sz w:val="16"/>
        </w:rPr>
      </w:pPr>
    </w:p>
    <w:p w14:paraId="60D6F352" w14:textId="77777777" w:rsidR="007652E3" w:rsidRPr="00927104" w:rsidRDefault="007652E3" w:rsidP="007652E3">
      <w:pPr>
        <w:pStyle w:val="Heading3"/>
      </w:pPr>
      <w:r w:rsidRPr="00927104">
        <w:lastRenderedPageBreak/>
        <w:t>economic sanctions = partial or total</w:t>
      </w:r>
    </w:p>
    <w:p w14:paraId="31418634" w14:textId="77777777" w:rsidR="007652E3" w:rsidRPr="00927104" w:rsidRDefault="007652E3" w:rsidP="007652E3">
      <w:pPr>
        <w:pStyle w:val="Heading4"/>
      </w:pPr>
      <w:r w:rsidRPr="00927104">
        <w:t xml:space="preserve">‘Economic sanctions’ are </w:t>
      </w:r>
      <w:r w:rsidRPr="00927104">
        <w:rPr>
          <w:u w:val="single"/>
        </w:rPr>
        <w:t>restrictions</w:t>
      </w:r>
      <w:r w:rsidRPr="00927104">
        <w:t xml:space="preserve"> on trade, travel and access to financial assets. They can be </w:t>
      </w:r>
      <w:r w:rsidRPr="00927104">
        <w:rPr>
          <w:u w:val="single"/>
        </w:rPr>
        <w:t>partial</w:t>
      </w:r>
      <w:r w:rsidRPr="00927104">
        <w:t xml:space="preserve"> or </w:t>
      </w:r>
      <w:r w:rsidRPr="00927104">
        <w:rPr>
          <w:u w:val="single"/>
        </w:rPr>
        <w:t>total</w:t>
      </w:r>
      <w:r w:rsidRPr="00927104">
        <w:t>.</w:t>
      </w:r>
    </w:p>
    <w:p w14:paraId="39C64492" w14:textId="77777777" w:rsidR="007652E3" w:rsidRPr="00927104" w:rsidRDefault="007652E3" w:rsidP="007652E3">
      <w:proofErr w:type="spellStart"/>
      <w:r w:rsidRPr="00927104">
        <w:rPr>
          <w:rStyle w:val="Style13ptBold"/>
        </w:rPr>
        <w:t>Metych</w:t>
      </w:r>
      <w:proofErr w:type="spellEnd"/>
      <w:r w:rsidRPr="00927104">
        <w:rPr>
          <w:rStyle w:val="Style13ptBold"/>
        </w:rPr>
        <w:t xml:space="preserve"> ’23</w:t>
      </w:r>
      <w:r w:rsidRPr="00927104">
        <w:t xml:space="preserve"> [Michelle; M.A., DePaul University, B.A., Southeast Missouri State University. “</w:t>
      </w:r>
      <w:proofErr w:type="gramStart"/>
      <w:r w:rsidRPr="00927104">
        <w:t>economic</w:t>
      </w:r>
      <w:proofErr w:type="gramEnd"/>
      <w:r w:rsidRPr="00927104">
        <w:t xml:space="preserve"> sanctions.” https://www.britannica.com/topic/economic-sanctions] TDI</w:t>
      </w:r>
    </w:p>
    <w:p w14:paraId="06415A0D" w14:textId="77777777" w:rsidR="007652E3" w:rsidRPr="00927104" w:rsidRDefault="007652E3" w:rsidP="007652E3">
      <w:pPr>
        <w:rPr>
          <w:sz w:val="16"/>
        </w:rPr>
      </w:pPr>
      <w:r w:rsidRPr="00927104">
        <w:rPr>
          <w:rStyle w:val="StyleUnderline"/>
        </w:rPr>
        <w:t>Economic sanctions</w:t>
      </w:r>
      <w:r w:rsidRPr="00927104">
        <w:rPr>
          <w:sz w:val="16"/>
        </w:rPr>
        <w:t xml:space="preserve">, restrictions, including those </w:t>
      </w:r>
      <w:r w:rsidRPr="00927104">
        <w:rPr>
          <w:rStyle w:val="StyleUnderline"/>
        </w:rPr>
        <w:t>on trade</w:t>
      </w:r>
      <w:r w:rsidRPr="00927104">
        <w:rPr>
          <w:sz w:val="16"/>
        </w:rPr>
        <w:t xml:space="preserve">, </w:t>
      </w:r>
      <w:r w:rsidRPr="00927104">
        <w:rPr>
          <w:rStyle w:val="StyleUnderline"/>
        </w:rPr>
        <w:t>travel</w:t>
      </w:r>
      <w:r w:rsidRPr="00927104">
        <w:rPr>
          <w:sz w:val="16"/>
        </w:rPr>
        <w:t xml:space="preserve">, </w:t>
      </w:r>
      <w:r w:rsidRPr="00927104">
        <w:rPr>
          <w:rStyle w:val="StyleUnderline"/>
        </w:rPr>
        <w:t xml:space="preserve">and access to </w:t>
      </w:r>
      <w:r w:rsidRPr="00927104">
        <w:rPr>
          <w:rStyle w:val="Emphasis"/>
        </w:rPr>
        <w:t>financial assets</w:t>
      </w:r>
      <w:r w:rsidRPr="00927104">
        <w:rPr>
          <w:sz w:val="16"/>
        </w:rPr>
        <w:t xml:space="preserve">, </w:t>
      </w:r>
      <w:r w:rsidRPr="00927104">
        <w:rPr>
          <w:rStyle w:val="StyleUnderline"/>
        </w:rPr>
        <w:t>imposed by a national government upon another government</w:t>
      </w:r>
      <w:r w:rsidRPr="00927104">
        <w:rPr>
          <w:sz w:val="16"/>
        </w:rPr>
        <w:t xml:space="preserve">, </w:t>
      </w:r>
      <w:r w:rsidRPr="00927104">
        <w:rPr>
          <w:rStyle w:val="StyleUnderline"/>
        </w:rPr>
        <w:t>an organization</w:t>
      </w:r>
      <w:r w:rsidRPr="00927104">
        <w:rPr>
          <w:sz w:val="16"/>
        </w:rPr>
        <w:t xml:space="preserve">, </w:t>
      </w:r>
      <w:r w:rsidRPr="00927104">
        <w:rPr>
          <w:rStyle w:val="StyleUnderline"/>
        </w:rPr>
        <w:t xml:space="preserve">or an individual for the purpose of compelling or preventing </w:t>
      </w:r>
      <w:r w:rsidRPr="00927104">
        <w:rPr>
          <w:rStyle w:val="Emphasis"/>
        </w:rPr>
        <w:t>certain actions or policies</w:t>
      </w:r>
      <w:r w:rsidRPr="00927104">
        <w:rPr>
          <w:rStyle w:val="StyleUnderline"/>
        </w:rPr>
        <w:t xml:space="preserve"> on the part of the </w:t>
      </w:r>
      <w:r w:rsidRPr="00927104">
        <w:rPr>
          <w:rStyle w:val="Emphasis"/>
        </w:rPr>
        <w:t>targeted entity or individual</w:t>
      </w:r>
      <w:r w:rsidRPr="00927104">
        <w:rPr>
          <w:sz w:val="16"/>
        </w:rPr>
        <w:t xml:space="preserve">. </w:t>
      </w:r>
      <w:r w:rsidRPr="00927104">
        <w:rPr>
          <w:rStyle w:val="StyleUnderline"/>
        </w:rPr>
        <w:t>Economic sanctions</w:t>
      </w:r>
      <w:r w:rsidRPr="00927104">
        <w:rPr>
          <w:sz w:val="16"/>
        </w:rPr>
        <w:t xml:space="preserve"> against governments usually </w:t>
      </w:r>
      <w:r w:rsidRPr="00927104">
        <w:rPr>
          <w:rStyle w:val="StyleUnderline"/>
        </w:rPr>
        <w:t xml:space="preserve">involve the </w:t>
      </w:r>
      <w:r w:rsidRPr="00927104">
        <w:rPr>
          <w:rStyle w:val="Emphasis"/>
        </w:rPr>
        <w:t>partial or total suspension</w:t>
      </w:r>
      <w:r w:rsidRPr="00927104">
        <w:rPr>
          <w:rStyle w:val="StyleUnderline"/>
        </w:rPr>
        <w:t xml:space="preserve"> of preexisting trade relations</w:t>
      </w:r>
      <w:r w:rsidRPr="00927104">
        <w:rPr>
          <w:sz w:val="16"/>
        </w:rPr>
        <w:t>. They may include but are not limited to asset freezes and seizures, export and import restrictions, travel bans, and arms embargoes. Economic sanctions are a common government response to challenges posed by armed conflicts, terrorism, human rights violations, drug smuggling, and other criminal or objectionable activities. Economic sanctions are often invoked as a first response to such challenges, because they can be levied in situations where military operations would be impossible or undesirable. They are also relatively inexpensive to implement and can be put in place quickly.</w:t>
      </w:r>
    </w:p>
    <w:p w14:paraId="1428635E" w14:textId="77777777" w:rsidR="007652E3" w:rsidRPr="00927104" w:rsidRDefault="007652E3" w:rsidP="007652E3">
      <w:pPr>
        <w:rPr>
          <w:sz w:val="16"/>
        </w:rPr>
      </w:pPr>
    </w:p>
    <w:p w14:paraId="6CEB04BD" w14:textId="1CBA4AC3" w:rsidR="008F78BD" w:rsidRPr="00927104" w:rsidRDefault="008F78BD" w:rsidP="00EF6319">
      <w:pPr>
        <w:pStyle w:val="Heading2"/>
      </w:pPr>
      <w:r w:rsidRPr="00927104">
        <w:lastRenderedPageBreak/>
        <w:t>on</w:t>
      </w:r>
    </w:p>
    <w:p w14:paraId="57C41CCC" w14:textId="7DCB9726" w:rsidR="007F2D7B" w:rsidRPr="00927104" w:rsidRDefault="007F2D7B" w:rsidP="007F2D7B">
      <w:pPr>
        <w:pStyle w:val="Heading3"/>
      </w:pPr>
      <w:r w:rsidRPr="00927104">
        <w:lastRenderedPageBreak/>
        <w:t>on = location</w:t>
      </w:r>
    </w:p>
    <w:p w14:paraId="30CF8B41" w14:textId="1AEA9F9A" w:rsidR="00027E7C" w:rsidRPr="00927104" w:rsidRDefault="00027E7C" w:rsidP="00027E7C">
      <w:pPr>
        <w:pStyle w:val="Heading4"/>
      </w:pPr>
      <w:r w:rsidRPr="00927104">
        <w:t xml:space="preserve">‘On’ refers to </w:t>
      </w:r>
      <w:r w:rsidRPr="00927104">
        <w:rPr>
          <w:u w:val="single"/>
        </w:rPr>
        <w:t>location</w:t>
      </w:r>
      <w:r w:rsidRPr="00927104">
        <w:t>.</w:t>
      </w:r>
    </w:p>
    <w:p w14:paraId="7967E08A" w14:textId="298AA791" w:rsidR="00CE5EC6" w:rsidRPr="00927104" w:rsidRDefault="00CE5EC6" w:rsidP="00CE5EC6">
      <w:r w:rsidRPr="00927104">
        <w:rPr>
          <w:rStyle w:val="Style13ptBold"/>
        </w:rPr>
        <w:t>Meriam Webster ’ND</w:t>
      </w:r>
      <w:r w:rsidRPr="00927104">
        <w:t xml:space="preserve"> [“on.” </w:t>
      </w:r>
      <w:r w:rsidR="00813416" w:rsidRPr="00927104">
        <w:t>https://www.merriam-webster.com/dictionary/on]</w:t>
      </w:r>
      <w:r w:rsidR="00F94051" w:rsidRPr="00927104">
        <w:t xml:space="preserve"> TDI</w:t>
      </w:r>
    </w:p>
    <w:p w14:paraId="02D6C1D9" w14:textId="798767F6" w:rsidR="008F78BD" w:rsidRPr="00927104" w:rsidRDefault="008F78BD" w:rsidP="008F78BD">
      <w:pPr>
        <w:rPr>
          <w:rStyle w:val="StyleUnderline"/>
        </w:rPr>
      </w:pPr>
      <w:r w:rsidRPr="00927104">
        <w:rPr>
          <w:rStyle w:val="StyleUnderline"/>
        </w:rPr>
        <w:t xml:space="preserve">used as a </w:t>
      </w:r>
      <w:r w:rsidRPr="00927104">
        <w:rPr>
          <w:rStyle w:val="Emphasis"/>
        </w:rPr>
        <w:t>function word</w:t>
      </w:r>
      <w:r w:rsidRPr="00927104">
        <w:rPr>
          <w:rStyle w:val="StyleUnderline"/>
        </w:rPr>
        <w:t xml:space="preserve"> to indicate the </w:t>
      </w:r>
      <w:r w:rsidRPr="00927104">
        <w:rPr>
          <w:rStyle w:val="Emphasis"/>
        </w:rPr>
        <w:t>location of something</w:t>
      </w:r>
    </w:p>
    <w:p w14:paraId="1F7C1AA7" w14:textId="77777777" w:rsidR="0041507E" w:rsidRPr="00927104" w:rsidRDefault="0041507E" w:rsidP="008F78BD"/>
    <w:p w14:paraId="6AC4B797" w14:textId="1E52E369" w:rsidR="00EF6319" w:rsidRPr="00927104" w:rsidRDefault="00D52FF3" w:rsidP="00EF6319">
      <w:pPr>
        <w:pStyle w:val="Heading2"/>
      </w:pPr>
      <w:proofErr w:type="spellStart"/>
      <w:r w:rsidRPr="00927104">
        <w:lastRenderedPageBreak/>
        <w:t>islamic</w:t>
      </w:r>
      <w:proofErr w:type="spellEnd"/>
      <w:r w:rsidRPr="00927104">
        <w:t xml:space="preserve"> republic of </w:t>
      </w:r>
      <w:proofErr w:type="spellStart"/>
      <w:r w:rsidR="00EF6319" w:rsidRPr="00927104">
        <w:t>iran</w:t>
      </w:r>
      <w:proofErr w:type="spellEnd"/>
    </w:p>
    <w:p w14:paraId="712C3DF8" w14:textId="637ECB46" w:rsidR="00EF6319" w:rsidRPr="00927104" w:rsidRDefault="000E022E" w:rsidP="0028236F">
      <w:pPr>
        <w:pStyle w:val="Heading3"/>
      </w:pPr>
      <w:proofErr w:type="spellStart"/>
      <w:r w:rsidRPr="00927104">
        <w:lastRenderedPageBreak/>
        <w:t>iri</w:t>
      </w:r>
      <w:proofErr w:type="spellEnd"/>
      <w:r w:rsidR="00D80D78" w:rsidRPr="00927104">
        <w:t xml:space="preserve"> = </w:t>
      </w:r>
      <w:r w:rsidR="00A311A7" w:rsidRPr="00927104">
        <w:t>government</w:t>
      </w:r>
    </w:p>
    <w:p w14:paraId="19A2FE56" w14:textId="2844D67C" w:rsidR="006B4AC3" w:rsidRPr="00927104" w:rsidRDefault="006B4AC3" w:rsidP="006B4AC3">
      <w:pPr>
        <w:pStyle w:val="Heading4"/>
      </w:pPr>
      <w:r w:rsidRPr="00927104">
        <w:t xml:space="preserve">The ‘Islamic Republic of Iran’ is </w:t>
      </w:r>
      <w:r w:rsidR="000C0F3E" w:rsidRPr="00927104">
        <w:t xml:space="preserve">the </w:t>
      </w:r>
      <w:r w:rsidR="000C0F3E" w:rsidRPr="00927104">
        <w:rPr>
          <w:u w:val="single"/>
        </w:rPr>
        <w:t>government</w:t>
      </w:r>
      <w:r w:rsidR="000C0F3E" w:rsidRPr="00927104">
        <w:t xml:space="preserve"> </w:t>
      </w:r>
      <w:r w:rsidR="00BC52E9" w:rsidRPr="00927104">
        <w:t xml:space="preserve">of </w:t>
      </w:r>
      <w:r w:rsidRPr="00927104">
        <w:t>Iran.</w:t>
      </w:r>
    </w:p>
    <w:p w14:paraId="4EC61577" w14:textId="7D0DA974" w:rsidR="00A12A33" w:rsidRPr="00927104" w:rsidRDefault="00F07302" w:rsidP="00A12A33">
      <w:r w:rsidRPr="00927104">
        <w:rPr>
          <w:rStyle w:val="Style13ptBold"/>
        </w:rPr>
        <w:t>CIA ’24</w:t>
      </w:r>
      <w:r w:rsidRPr="00927104">
        <w:t xml:space="preserve"> [Central Intelligence Agency. “Iran.” </w:t>
      </w:r>
      <w:r w:rsidR="00A12A33" w:rsidRPr="00927104">
        <w:t>https://www.cia.gov/the-world-factbook/countries/iran/#government</w:t>
      </w:r>
      <w:r w:rsidR="007A036D" w:rsidRPr="00927104">
        <w:t>] TDI</w:t>
      </w:r>
    </w:p>
    <w:p w14:paraId="35A3B56B" w14:textId="43FA67AD" w:rsidR="002F057B" w:rsidRPr="00927104" w:rsidRDefault="002F057B" w:rsidP="00A12A33">
      <w:r w:rsidRPr="00927104">
        <w:rPr>
          <w:rStyle w:val="StyleUnderline"/>
        </w:rPr>
        <w:t>Government</w:t>
      </w:r>
    </w:p>
    <w:p w14:paraId="65F90333" w14:textId="3E99D187" w:rsidR="006B74C6" w:rsidRPr="00927104" w:rsidRDefault="006B74C6" w:rsidP="006B74C6">
      <w:pPr>
        <w:rPr>
          <w:rStyle w:val="StyleUnderline"/>
        </w:rPr>
      </w:pPr>
      <w:r w:rsidRPr="00927104">
        <w:rPr>
          <w:rStyle w:val="StyleUnderline"/>
        </w:rPr>
        <w:t>Country name</w:t>
      </w:r>
    </w:p>
    <w:p w14:paraId="6BFE0C49" w14:textId="021E7848" w:rsidR="000A221F" w:rsidRPr="00927104" w:rsidRDefault="000A221F" w:rsidP="006B74C6">
      <w:pPr>
        <w:rPr>
          <w:rStyle w:val="Emphasis"/>
        </w:rPr>
      </w:pPr>
      <w:r w:rsidRPr="00927104">
        <w:rPr>
          <w:sz w:val="16"/>
        </w:rPr>
        <w:t>conventional long form: </w:t>
      </w:r>
      <w:r w:rsidRPr="00927104">
        <w:rPr>
          <w:rStyle w:val="Emphasis"/>
        </w:rPr>
        <w:t>Islamic Republic of Iran</w:t>
      </w:r>
    </w:p>
    <w:p w14:paraId="4FF095CD" w14:textId="77777777" w:rsidR="00B82A43" w:rsidRDefault="00B82A43" w:rsidP="00A311A7">
      <w:pPr>
        <w:rPr>
          <w:sz w:val="16"/>
        </w:rPr>
      </w:pPr>
    </w:p>
    <w:p w14:paraId="0E76349A" w14:textId="05606EA4" w:rsidR="004B718A" w:rsidRDefault="004B718A" w:rsidP="004B718A">
      <w:pPr>
        <w:pStyle w:val="Heading3"/>
      </w:pPr>
      <w:proofErr w:type="spellStart"/>
      <w:r>
        <w:lastRenderedPageBreak/>
        <w:t>iri</w:t>
      </w:r>
      <w:proofErr w:type="spellEnd"/>
      <w:r>
        <w:t xml:space="preserve"> = country</w:t>
      </w:r>
    </w:p>
    <w:p w14:paraId="03E4C255" w14:textId="19470879" w:rsidR="004B718A" w:rsidRDefault="00E948A1" w:rsidP="004B718A">
      <w:pPr>
        <w:pStyle w:val="Heading4"/>
      </w:pPr>
      <w:r>
        <w:t>The ‘Islamic Republic of Iran’</w:t>
      </w:r>
      <w:r w:rsidR="004B718A">
        <w:t xml:space="preserve"> is the country.</w:t>
      </w:r>
    </w:p>
    <w:p w14:paraId="29791ED6" w14:textId="47D493E8" w:rsidR="00E65B1F" w:rsidRPr="00E65B1F" w:rsidRDefault="00E65B1F" w:rsidP="00E65B1F">
      <w:r w:rsidRPr="00E65B1F">
        <w:rPr>
          <w:rStyle w:val="Style13ptBold"/>
        </w:rPr>
        <w:t xml:space="preserve">Avery &amp; </w:t>
      </w:r>
      <w:proofErr w:type="spellStart"/>
      <w:r w:rsidRPr="00E65B1F">
        <w:rPr>
          <w:rStyle w:val="Style13ptBold"/>
        </w:rPr>
        <w:t>Mostofi</w:t>
      </w:r>
      <w:proofErr w:type="spellEnd"/>
      <w:r w:rsidRPr="00E65B1F">
        <w:rPr>
          <w:rStyle w:val="Style13ptBold"/>
        </w:rPr>
        <w:t xml:space="preserve"> ’24</w:t>
      </w:r>
      <w:r>
        <w:t xml:space="preserve"> [Peter; </w:t>
      </w:r>
      <w:r w:rsidRPr="00E65B1F">
        <w:t>Former Lecturer in Persian, University of Cambridge; Fellow of King's College, Cambridge.</w:t>
      </w:r>
      <w:r>
        <w:t xml:space="preserve"> Khosrow; </w:t>
      </w:r>
      <w:r w:rsidRPr="00E65B1F">
        <w:t>Professor of Political Science, University of Utah, Salt Lake City; Director, Middle East Languages and Area Center</w:t>
      </w:r>
      <w:r>
        <w:t>. “</w:t>
      </w:r>
      <w:r w:rsidRPr="00E65B1F">
        <w:t>Iran</w:t>
      </w:r>
      <w:r>
        <w:t xml:space="preserve">.” </w:t>
      </w:r>
      <w:r w:rsidRPr="00E65B1F">
        <w:t>https://www.britannica.com/place/Iran</w:t>
      </w:r>
      <w:r>
        <w:t>]</w:t>
      </w:r>
      <w:r w:rsidR="00DE2DCF">
        <w:t xml:space="preserve"> TDI</w:t>
      </w:r>
    </w:p>
    <w:p w14:paraId="31DDCD4F" w14:textId="38A9DBC4" w:rsidR="004B718A" w:rsidRPr="00E65B1F" w:rsidRDefault="004B718A" w:rsidP="001F3A29">
      <w:pPr>
        <w:rPr>
          <w:sz w:val="16"/>
        </w:rPr>
      </w:pPr>
      <w:r w:rsidRPr="00E65B1F">
        <w:rPr>
          <w:rStyle w:val="StyleUnderline"/>
        </w:rPr>
        <w:t>Also known as</w:t>
      </w:r>
      <w:r w:rsidRPr="00E65B1F">
        <w:rPr>
          <w:sz w:val="16"/>
        </w:rPr>
        <w:t xml:space="preserve">: </w:t>
      </w:r>
      <w:r w:rsidRPr="00E65B1F">
        <w:rPr>
          <w:rStyle w:val="Emphasis"/>
        </w:rPr>
        <w:t>Islamic Republic of Iran</w:t>
      </w:r>
      <w:r w:rsidRPr="00E65B1F">
        <w:rPr>
          <w:sz w:val="16"/>
        </w:rPr>
        <w:t xml:space="preserve">, </w:t>
      </w:r>
      <w:proofErr w:type="spellStart"/>
      <w:r w:rsidRPr="00E65B1F">
        <w:rPr>
          <w:sz w:val="16"/>
        </w:rPr>
        <w:t>Jomhūrī</w:t>
      </w:r>
      <w:proofErr w:type="spellEnd"/>
      <w:r w:rsidRPr="00E65B1F">
        <w:rPr>
          <w:sz w:val="16"/>
        </w:rPr>
        <w:t xml:space="preserve">-ye </w:t>
      </w:r>
      <w:proofErr w:type="spellStart"/>
      <w:r w:rsidRPr="00E65B1F">
        <w:rPr>
          <w:sz w:val="16"/>
        </w:rPr>
        <w:t>Eslāmī</w:t>
      </w:r>
      <w:proofErr w:type="spellEnd"/>
      <w:r w:rsidRPr="00E65B1F">
        <w:rPr>
          <w:sz w:val="16"/>
        </w:rPr>
        <w:t xml:space="preserve">-ye </w:t>
      </w:r>
      <w:proofErr w:type="spellStart"/>
      <w:r w:rsidRPr="00E65B1F">
        <w:rPr>
          <w:sz w:val="16"/>
        </w:rPr>
        <w:t>Īrān</w:t>
      </w:r>
      <w:proofErr w:type="spellEnd"/>
    </w:p>
    <w:p w14:paraId="0AB6C9DF" w14:textId="77777777" w:rsidR="00E65B1F" w:rsidRPr="00E65B1F" w:rsidRDefault="00E65B1F" w:rsidP="00E65B1F">
      <w:pPr>
        <w:rPr>
          <w:sz w:val="16"/>
        </w:rPr>
      </w:pPr>
      <w:r w:rsidRPr="00E65B1F">
        <w:rPr>
          <w:rStyle w:val="StyleUnderline"/>
        </w:rPr>
        <w:t>Iran</w:t>
      </w:r>
      <w:r w:rsidRPr="00E65B1F">
        <w:rPr>
          <w:sz w:val="16"/>
        </w:rPr>
        <w:t xml:space="preserve">, </w:t>
      </w:r>
      <w:r w:rsidRPr="00E65B1F">
        <w:rPr>
          <w:rStyle w:val="StyleUnderline"/>
        </w:rPr>
        <w:t>a mountainous</w:t>
      </w:r>
      <w:r w:rsidRPr="00E65B1F">
        <w:rPr>
          <w:sz w:val="16"/>
        </w:rPr>
        <w:t xml:space="preserve">, </w:t>
      </w:r>
      <w:r w:rsidRPr="00E65B1F">
        <w:rPr>
          <w:rStyle w:val="StyleUnderline"/>
        </w:rPr>
        <w:t>arid</w:t>
      </w:r>
      <w:r w:rsidRPr="00E65B1F">
        <w:rPr>
          <w:sz w:val="16"/>
        </w:rPr>
        <w:t xml:space="preserve">, </w:t>
      </w:r>
      <w:r w:rsidRPr="00E65B1F">
        <w:rPr>
          <w:rStyle w:val="StyleUnderline"/>
        </w:rPr>
        <w:t xml:space="preserve">and </w:t>
      </w:r>
      <w:r w:rsidRPr="00E65B1F">
        <w:rPr>
          <w:rStyle w:val="Emphasis"/>
        </w:rPr>
        <w:t>ethnically diverse country</w:t>
      </w:r>
      <w:r w:rsidRPr="00E65B1F">
        <w:rPr>
          <w:rStyle w:val="StyleUnderline"/>
        </w:rPr>
        <w:t xml:space="preserve"> of southwestern Asia</w:t>
      </w:r>
      <w:r w:rsidRPr="00E65B1F">
        <w:rPr>
          <w:sz w:val="16"/>
        </w:rPr>
        <w:t xml:space="preserve">. The country maintains a rich and distinctive cultural and social continuity dating back to the Achaemenian period, which began in 550 BCE. Since 1979 it has </w:t>
      </w:r>
      <w:r w:rsidRPr="00E65B1F">
        <w:rPr>
          <w:rStyle w:val="StyleUnderline"/>
        </w:rPr>
        <w:t xml:space="preserve">become known for its </w:t>
      </w:r>
      <w:r w:rsidRPr="00E65B1F">
        <w:rPr>
          <w:rStyle w:val="Emphasis"/>
        </w:rPr>
        <w:t>unique brand</w:t>
      </w:r>
      <w:r w:rsidRPr="00E65B1F">
        <w:rPr>
          <w:rStyle w:val="StyleUnderline"/>
        </w:rPr>
        <w:t xml:space="preserve"> of </w:t>
      </w:r>
      <w:r w:rsidRPr="00E65B1F">
        <w:rPr>
          <w:rStyle w:val="Emphasis"/>
        </w:rPr>
        <w:t>Islamic republic</w:t>
      </w:r>
      <w:r w:rsidRPr="00E65B1F">
        <w:rPr>
          <w:sz w:val="16"/>
        </w:rPr>
        <w:t xml:space="preserve">. Although the system of government was intended as a parliamentary democracy, persistent instability both at home and abroad have steered its slide into a more theocratic authoritarianism. In 2022 the state’s push to pacify economic unrest through repression prompted widespread and debilitating protests, which were catalyzed in part by the death of Jina </w:t>
      </w:r>
      <w:proofErr w:type="spellStart"/>
      <w:r w:rsidRPr="00E65B1F">
        <w:rPr>
          <w:sz w:val="16"/>
        </w:rPr>
        <w:t>Mahsa</w:t>
      </w:r>
      <w:proofErr w:type="spellEnd"/>
      <w:r w:rsidRPr="00E65B1F">
        <w:rPr>
          <w:sz w:val="16"/>
        </w:rPr>
        <w:t xml:space="preserve"> </w:t>
      </w:r>
      <w:proofErr w:type="spellStart"/>
      <w:r w:rsidRPr="00E65B1F">
        <w:rPr>
          <w:sz w:val="16"/>
        </w:rPr>
        <w:t>Amini</w:t>
      </w:r>
      <w:proofErr w:type="spellEnd"/>
      <w:r w:rsidRPr="00E65B1F">
        <w:rPr>
          <w:sz w:val="16"/>
        </w:rPr>
        <w:t xml:space="preserve"> while she was in custody for improper attire. The repression that was seen before, during, and after those protests coincided with questions over the succession of the aging Ali Khamenei, the autocratic leader (</w:t>
      </w:r>
      <w:proofErr w:type="spellStart"/>
      <w:r w:rsidRPr="00E65B1F">
        <w:rPr>
          <w:sz w:val="16"/>
        </w:rPr>
        <w:t>rahbar</w:t>
      </w:r>
      <w:proofErr w:type="spellEnd"/>
      <w:r w:rsidRPr="00E65B1F">
        <w:rPr>
          <w:sz w:val="16"/>
        </w:rPr>
        <w:t>) for more than three decades.</w:t>
      </w:r>
    </w:p>
    <w:p w14:paraId="45BD48DA" w14:textId="77777777" w:rsidR="00E65B1F" w:rsidRPr="00E65B1F" w:rsidRDefault="00E65B1F" w:rsidP="001F3A29">
      <w:pPr>
        <w:rPr>
          <w:sz w:val="16"/>
        </w:rPr>
      </w:pPr>
    </w:p>
    <w:p w14:paraId="024A6A07" w14:textId="1F514A14" w:rsidR="00B82A43" w:rsidRPr="00927104" w:rsidRDefault="00E82329" w:rsidP="00E82329">
      <w:pPr>
        <w:pStyle w:val="Heading2"/>
      </w:pPr>
      <w:r w:rsidRPr="00927104">
        <w:lastRenderedPageBreak/>
        <w:t xml:space="preserve">democratic people’s republic of </w:t>
      </w:r>
      <w:proofErr w:type="spellStart"/>
      <w:r w:rsidRPr="00927104">
        <w:t>korea</w:t>
      </w:r>
      <w:proofErr w:type="spellEnd"/>
    </w:p>
    <w:p w14:paraId="0634CCD1" w14:textId="2D0C7403" w:rsidR="00BA2E07" w:rsidRPr="00927104" w:rsidRDefault="00BA2E07" w:rsidP="00BA2E07">
      <w:pPr>
        <w:pStyle w:val="Heading3"/>
      </w:pPr>
      <w:proofErr w:type="spellStart"/>
      <w:r w:rsidRPr="00927104">
        <w:lastRenderedPageBreak/>
        <w:t>dprk</w:t>
      </w:r>
      <w:proofErr w:type="spellEnd"/>
      <w:r w:rsidRPr="00927104">
        <w:t xml:space="preserve"> = </w:t>
      </w:r>
      <w:r w:rsidR="000F3D27" w:rsidRPr="00927104">
        <w:t>government</w:t>
      </w:r>
    </w:p>
    <w:p w14:paraId="3A28459C" w14:textId="5FF59271" w:rsidR="0077762F" w:rsidRPr="00927104" w:rsidRDefault="0077762F" w:rsidP="0077762F">
      <w:pPr>
        <w:pStyle w:val="Heading4"/>
      </w:pPr>
      <w:r w:rsidRPr="00927104">
        <w:t>The ‘Democratic People’s Republic of Korea’ is</w:t>
      </w:r>
      <w:r w:rsidR="008A4B45" w:rsidRPr="00927104">
        <w:t xml:space="preserve"> the </w:t>
      </w:r>
      <w:r w:rsidR="008A4B45" w:rsidRPr="00927104">
        <w:rPr>
          <w:u w:val="single"/>
        </w:rPr>
        <w:t>government</w:t>
      </w:r>
      <w:r w:rsidR="008A4B45" w:rsidRPr="00927104">
        <w:t xml:space="preserve"> of</w:t>
      </w:r>
      <w:r w:rsidRPr="00927104">
        <w:t xml:space="preserve"> North Korea.</w:t>
      </w:r>
    </w:p>
    <w:p w14:paraId="5DD989CB" w14:textId="253AAB31" w:rsidR="004C3B28" w:rsidRPr="00927104" w:rsidRDefault="004C3B28" w:rsidP="004C3B28">
      <w:r w:rsidRPr="00927104">
        <w:rPr>
          <w:rStyle w:val="Style13ptBold"/>
        </w:rPr>
        <w:t>CIA ’24</w:t>
      </w:r>
      <w:r w:rsidRPr="00927104">
        <w:t xml:space="preserve"> [</w:t>
      </w:r>
      <w:r w:rsidR="005B7759" w:rsidRPr="00927104">
        <w:t xml:space="preserve">Central Intelligence Agency. </w:t>
      </w:r>
      <w:r w:rsidRPr="00927104">
        <w:t>“Korea, North.” https://www.cia.gov/the-world-factbook/countries/korea-north/] TDI</w:t>
      </w:r>
    </w:p>
    <w:p w14:paraId="58546F46" w14:textId="6F1258B0" w:rsidR="002F057B" w:rsidRPr="00927104" w:rsidRDefault="002F057B" w:rsidP="004C3B28">
      <w:r w:rsidRPr="00927104">
        <w:rPr>
          <w:rStyle w:val="StyleUnderline"/>
        </w:rPr>
        <w:t>Government</w:t>
      </w:r>
    </w:p>
    <w:p w14:paraId="22E86365" w14:textId="77777777" w:rsidR="00E82329" w:rsidRPr="00927104" w:rsidRDefault="00E82329" w:rsidP="00E82329">
      <w:pPr>
        <w:rPr>
          <w:rStyle w:val="StyleUnderline"/>
        </w:rPr>
      </w:pPr>
      <w:r w:rsidRPr="00927104">
        <w:rPr>
          <w:rStyle w:val="StyleUnderline"/>
        </w:rPr>
        <w:t>Country name</w:t>
      </w:r>
    </w:p>
    <w:p w14:paraId="19921716" w14:textId="4839D57C" w:rsidR="00E82329" w:rsidRPr="00927104" w:rsidRDefault="00E82329" w:rsidP="00E82329">
      <w:pPr>
        <w:rPr>
          <w:sz w:val="16"/>
        </w:rPr>
      </w:pPr>
      <w:r w:rsidRPr="00927104">
        <w:rPr>
          <w:sz w:val="16"/>
        </w:rPr>
        <w:t xml:space="preserve">conventional long form: </w:t>
      </w:r>
      <w:r w:rsidRPr="00927104">
        <w:rPr>
          <w:rStyle w:val="Emphasis"/>
        </w:rPr>
        <w:t>Democratic People's Republic of Korea</w:t>
      </w:r>
    </w:p>
    <w:p w14:paraId="0F07B42E" w14:textId="77777777" w:rsidR="00E84772" w:rsidRDefault="00E84772" w:rsidP="00E82329">
      <w:pPr>
        <w:rPr>
          <w:sz w:val="16"/>
        </w:rPr>
      </w:pPr>
    </w:p>
    <w:p w14:paraId="33F53E25" w14:textId="78607326" w:rsidR="00D76327" w:rsidRDefault="00D76327" w:rsidP="00D76327">
      <w:pPr>
        <w:pStyle w:val="Heading3"/>
      </w:pPr>
      <w:proofErr w:type="spellStart"/>
      <w:r>
        <w:lastRenderedPageBreak/>
        <w:t>dprk</w:t>
      </w:r>
      <w:proofErr w:type="spellEnd"/>
      <w:r>
        <w:t xml:space="preserve"> = country</w:t>
      </w:r>
    </w:p>
    <w:p w14:paraId="57E46E78" w14:textId="1CED0BC2" w:rsidR="00E948A1" w:rsidRPr="00E948A1" w:rsidRDefault="00E56CBE" w:rsidP="00E56CBE">
      <w:pPr>
        <w:pStyle w:val="Heading4"/>
      </w:pPr>
      <w:r>
        <w:t xml:space="preserve">The ‘Democratic People’s Republic Korea’ is the </w:t>
      </w:r>
      <w:r w:rsidRPr="0075729D">
        <w:rPr>
          <w:u w:val="single"/>
        </w:rPr>
        <w:t>country</w:t>
      </w:r>
      <w:r>
        <w:t>.</w:t>
      </w:r>
    </w:p>
    <w:p w14:paraId="0F47EE9E" w14:textId="6A5E0B78" w:rsidR="00445D3A" w:rsidRDefault="00445D3A" w:rsidP="00D76327">
      <w:r w:rsidRPr="002C7AED">
        <w:rPr>
          <w:rStyle w:val="Style13ptBold"/>
        </w:rPr>
        <w:t xml:space="preserve">Lee &amp; Yu </w:t>
      </w:r>
      <w:r w:rsidR="00B43596" w:rsidRPr="002C7AED">
        <w:rPr>
          <w:rStyle w:val="Style13ptBold"/>
        </w:rPr>
        <w:t>’</w:t>
      </w:r>
      <w:r w:rsidRPr="002C7AED">
        <w:rPr>
          <w:rStyle w:val="Style13ptBold"/>
        </w:rPr>
        <w:t>24</w:t>
      </w:r>
      <w:r w:rsidR="00B43596">
        <w:t xml:space="preserve"> [</w:t>
      </w:r>
      <w:r w:rsidR="003979DA">
        <w:t xml:space="preserve">Chan; </w:t>
      </w:r>
      <w:r w:rsidR="003979DA" w:rsidRPr="003979DA">
        <w:t>Emeritus Professor of Geography, Seoul National University</w:t>
      </w:r>
      <w:r w:rsidR="001D2EF5">
        <w:t xml:space="preserve">. </w:t>
      </w:r>
      <w:r w:rsidR="00430368">
        <w:t>Woo-</w:t>
      </w:r>
      <w:proofErr w:type="spellStart"/>
      <w:r w:rsidR="00430368">
        <w:t>Ik</w:t>
      </w:r>
      <w:proofErr w:type="spellEnd"/>
      <w:r w:rsidR="00430368">
        <w:t xml:space="preserve">; </w:t>
      </w:r>
      <w:r w:rsidR="00430368" w:rsidRPr="00430368">
        <w:t>Professor of Geography, Seoul National University</w:t>
      </w:r>
      <w:r w:rsidR="00817616">
        <w:t xml:space="preserve">. </w:t>
      </w:r>
      <w:r w:rsidR="00DF2EAA">
        <w:t>“</w:t>
      </w:r>
      <w:r w:rsidR="00DF2EAA" w:rsidRPr="00DF2EAA">
        <w:t>North Korea</w:t>
      </w:r>
      <w:r w:rsidR="00DF2EAA">
        <w:t xml:space="preserve">.” </w:t>
      </w:r>
      <w:r w:rsidR="00DF2EAA" w:rsidRPr="00DF2EAA">
        <w:t>https://www.britannica.com/place/North-Korea</w:t>
      </w:r>
      <w:r w:rsidR="00DF2EAA">
        <w:t>] TDI</w:t>
      </w:r>
    </w:p>
    <w:p w14:paraId="3C77D863" w14:textId="4660EBEE" w:rsidR="00D76327" w:rsidRPr="00352EAD" w:rsidRDefault="00D76327" w:rsidP="00D76327">
      <w:pPr>
        <w:rPr>
          <w:sz w:val="16"/>
        </w:rPr>
      </w:pPr>
      <w:r w:rsidRPr="00352EAD">
        <w:rPr>
          <w:rStyle w:val="StyleUnderline"/>
        </w:rPr>
        <w:t>Also known as</w:t>
      </w:r>
      <w:r w:rsidRPr="00352EAD">
        <w:rPr>
          <w:sz w:val="16"/>
        </w:rPr>
        <w:t xml:space="preserve">: </w:t>
      </w:r>
      <w:proofErr w:type="spellStart"/>
      <w:r w:rsidRPr="00352EAD">
        <w:rPr>
          <w:sz w:val="16"/>
        </w:rPr>
        <w:t>Chosŏn</w:t>
      </w:r>
      <w:proofErr w:type="spellEnd"/>
      <w:r w:rsidRPr="00352EAD">
        <w:rPr>
          <w:sz w:val="16"/>
        </w:rPr>
        <w:t xml:space="preserve"> </w:t>
      </w:r>
      <w:proofErr w:type="spellStart"/>
      <w:r w:rsidRPr="00352EAD">
        <w:rPr>
          <w:sz w:val="16"/>
        </w:rPr>
        <w:t>Minjujuŭi</w:t>
      </w:r>
      <w:proofErr w:type="spellEnd"/>
      <w:r w:rsidRPr="00352EAD">
        <w:rPr>
          <w:sz w:val="16"/>
        </w:rPr>
        <w:t xml:space="preserve"> </w:t>
      </w:r>
      <w:proofErr w:type="spellStart"/>
      <w:r w:rsidRPr="00352EAD">
        <w:rPr>
          <w:sz w:val="16"/>
        </w:rPr>
        <w:t>In’min</w:t>
      </w:r>
      <w:proofErr w:type="spellEnd"/>
      <w:r w:rsidRPr="00352EAD">
        <w:rPr>
          <w:sz w:val="16"/>
        </w:rPr>
        <w:t xml:space="preserve"> </w:t>
      </w:r>
      <w:proofErr w:type="spellStart"/>
      <w:r w:rsidRPr="00352EAD">
        <w:rPr>
          <w:sz w:val="16"/>
        </w:rPr>
        <w:t>Konghwaguk</w:t>
      </w:r>
      <w:proofErr w:type="spellEnd"/>
      <w:r w:rsidRPr="00352EAD">
        <w:rPr>
          <w:sz w:val="16"/>
        </w:rPr>
        <w:t xml:space="preserve">, </w:t>
      </w:r>
      <w:r w:rsidRPr="00352EAD">
        <w:rPr>
          <w:rStyle w:val="Emphasis"/>
        </w:rPr>
        <w:t>Democratic People’s Republic of Korea</w:t>
      </w:r>
    </w:p>
    <w:p w14:paraId="32FBE374" w14:textId="77777777" w:rsidR="00D35986" w:rsidRPr="00D35986" w:rsidRDefault="00D35986" w:rsidP="00D35986">
      <w:pPr>
        <w:rPr>
          <w:sz w:val="16"/>
        </w:rPr>
      </w:pPr>
      <w:r w:rsidRPr="00D35986">
        <w:rPr>
          <w:rStyle w:val="StyleUnderline"/>
        </w:rPr>
        <w:t>North Korea</w:t>
      </w:r>
      <w:r w:rsidRPr="00D35986">
        <w:rPr>
          <w:sz w:val="16"/>
        </w:rPr>
        <w:t xml:space="preserve">, </w:t>
      </w:r>
      <w:r w:rsidRPr="00D35986">
        <w:rPr>
          <w:rStyle w:val="Emphasis"/>
        </w:rPr>
        <w:t>country</w:t>
      </w:r>
      <w:r w:rsidRPr="00D35986">
        <w:rPr>
          <w:rStyle w:val="StyleUnderline"/>
        </w:rPr>
        <w:t xml:space="preserve"> in East Asia</w:t>
      </w:r>
      <w:r w:rsidRPr="00D35986">
        <w:rPr>
          <w:sz w:val="16"/>
        </w:rPr>
        <w:t xml:space="preserve">. It </w:t>
      </w:r>
      <w:r w:rsidRPr="00D35986">
        <w:rPr>
          <w:rStyle w:val="StyleUnderline"/>
        </w:rPr>
        <w:t xml:space="preserve">occupies the northern portion of the </w:t>
      </w:r>
      <w:r w:rsidRPr="00D35986">
        <w:rPr>
          <w:rStyle w:val="Emphasis"/>
        </w:rPr>
        <w:t>Korean peninsula</w:t>
      </w:r>
      <w:r w:rsidRPr="00D35986">
        <w:rPr>
          <w:sz w:val="16"/>
        </w:rPr>
        <w:t xml:space="preserve">, which juts out from the Asian mainland between the East Sea (Sea of Japan) and the Yellow Sea; North Korea covers about 55 percent of the peninsula’s land area. The country is bordered by China and Russia to the north and by the Republic of Korea (South Korea) to the south. The national capital, </w:t>
      </w:r>
      <w:proofErr w:type="spellStart"/>
      <w:r w:rsidRPr="00D35986">
        <w:rPr>
          <w:sz w:val="16"/>
        </w:rPr>
        <w:t>P’yŏngyang</w:t>
      </w:r>
      <w:proofErr w:type="spellEnd"/>
      <w:r w:rsidRPr="00D35986">
        <w:rPr>
          <w:sz w:val="16"/>
        </w:rPr>
        <w:t xml:space="preserve">, is a major industrial and transport </w:t>
      </w:r>
      <w:proofErr w:type="spellStart"/>
      <w:r w:rsidRPr="00D35986">
        <w:rPr>
          <w:sz w:val="16"/>
        </w:rPr>
        <w:t>centre</w:t>
      </w:r>
      <w:proofErr w:type="spellEnd"/>
      <w:r w:rsidRPr="00D35986">
        <w:rPr>
          <w:sz w:val="16"/>
        </w:rPr>
        <w:t xml:space="preserve"> near the west coast.</w:t>
      </w:r>
    </w:p>
    <w:p w14:paraId="6AC718A7" w14:textId="77777777" w:rsidR="00130FF8" w:rsidRPr="00352EAD" w:rsidRDefault="00130FF8" w:rsidP="00D76327">
      <w:pPr>
        <w:rPr>
          <w:sz w:val="16"/>
        </w:rPr>
      </w:pPr>
    </w:p>
    <w:p w14:paraId="6867F078" w14:textId="62F12C4A" w:rsidR="00653205" w:rsidRPr="00927104" w:rsidRDefault="00653205" w:rsidP="00653205">
      <w:pPr>
        <w:pStyle w:val="Heading2"/>
      </w:pPr>
      <w:proofErr w:type="spellStart"/>
      <w:r w:rsidRPr="00927104">
        <w:lastRenderedPageBreak/>
        <w:t>bolivarian</w:t>
      </w:r>
      <w:proofErr w:type="spellEnd"/>
      <w:r w:rsidRPr="00927104">
        <w:t xml:space="preserve"> republic of </w:t>
      </w:r>
      <w:proofErr w:type="spellStart"/>
      <w:r w:rsidR="00A12AB0" w:rsidRPr="00927104">
        <w:t>v</w:t>
      </w:r>
      <w:r w:rsidRPr="00927104">
        <w:t>enezuela</w:t>
      </w:r>
      <w:proofErr w:type="spellEnd"/>
    </w:p>
    <w:p w14:paraId="206622D4" w14:textId="7FD3AEE2" w:rsidR="00A0439B" w:rsidRPr="00927104" w:rsidRDefault="00A0439B" w:rsidP="00A0439B">
      <w:pPr>
        <w:pStyle w:val="Heading3"/>
      </w:pPr>
      <w:proofErr w:type="spellStart"/>
      <w:r w:rsidRPr="00927104">
        <w:lastRenderedPageBreak/>
        <w:t>brv</w:t>
      </w:r>
      <w:proofErr w:type="spellEnd"/>
      <w:r w:rsidRPr="00927104">
        <w:t xml:space="preserve"> = </w:t>
      </w:r>
      <w:r w:rsidR="007405A2" w:rsidRPr="00927104">
        <w:t>government</w:t>
      </w:r>
    </w:p>
    <w:p w14:paraId="7B18364B" w14:textId="7F06AC48" w:rsidR="008F3194" w:rsidRPr="00927104" w:rsidRDefault="008F3194" w:rsidP="008F3194">
      <w:pPr>
        <w:pStyle w:val="Heading4"/>
      </w:pPr>
      <w:r w:rsidRPr="00927104">
        <w:t xml:space="preserve">The ‘Bolivarian Republic of Venezuela’ is </w:t>
      </w:r>
      <w:r w:rsidR="00C872D8" w:rsidRPr="00927104">
        <w:t xml:space="preserve">the </w:t>
      </w:r>
      <w:r w:rsidR="00C872D8" w:rsidRPr="00927104">
        <w:rPr>
          <w:u w:val="single"/>
        </w:rPr>
        <w:t>government</w:t>
      </w:r>
      <w:r w:rsidR="00C872D8" w:rsidRPr="00927104">
        <w:t xml:space="preserve"> of </w:t>
      </w:r>
      <w:r w:rsidRPr="00927104">
        <w:t>Venezuela.</w:t>
      </w:r>
    </w:p>
    <w:p w14:paraId="79AE8483" w14:textId="3872D673" w:rsidR="00653205" w:rsidRPr="00927104" w:rsidRDefault="0099165B" w:rsidP="00653205">
      <w:r w:rsidRPr="00927104">
        <w:rPr>
          <w:rStyle w:val="Style13ptBold"/>
        </w:rPr>
        <w:t>CIA ’24</w:t>
      </w:r>
      <w:r w:rsidRPr="00927104">
        <w:t xml:space="preserve"> [Central Intelligence Agency. </w:t>
      </w:r>
      <w:r w:rsidR="00D84FE9" w:rsidRPr="00927104">
        <w:t xml:space="preserve">“Venezuela.” </w:t>
      </w:r>
      <w:r w:rsidR="00A90B12" w:rsidRPr="00927104">
        <w:t>https://www.cia.gov/the-world-factbook/countries/venezuela/]</w:t>
      </w:r>
      <w:r w:rsidR="00470A8C" w:rsidRPr="00927104">
        <w:t xml:space="preserve"> TDI</w:t>
      </w:r>
    </w:p>
    <w:p w14:paraId="627E973C" w14:textId="7B4CD252" w:rsidR="00275441" w:rsidRPr="00927104" w:rsidRDefault="00275441" w:rsidP="00653205">
      <w:r w:rsidRPr="00927104">
        <w:rPr>
          <w:rStyle w:val="StyleUnderline"/>
        </w:rPr>
        <w:t>Government</w:t>
      </w:r>
    </w:p>
    <w:p w14:paraId="4B270C01" w14:textId="77777777" w:rsidR="006B74C6" w:rsidRPr="00927104" w:rsidRDefault="006B74C6" w:rsidP="006B74C6">
      <w:pPr>
        <w:rPr>
          <w:rStyle w:val="StyleUnderline"/>
        </w:rPr>
      </w:pPr>
      <w:r w:rsidRPr="00927104">
        <w:rPr>
          <w:rStyle w:val="StyleUnderline"/>
        </w:rPr>
        <w:t>Country name</w:t>
      </w:r>
    </w:p>
    <w:p w14:paraId="7D6DC490" w14:textId="3404601A" w:rsidR="00653205" w:rsidRPr="00927104" w:rsidRDefault="006B74C6" w:rsidP="006B74C6">
      <w:pPr>
        <w:rPr>
          <w:rStyle w:val="Emphasis"/>
        </w:rPr>
      </w:pPr>
      <w:r w:rsidRPr="00927104">
        <w:rPr>
          <w:sz w:val="16"/>
        </w:rPr>
        <w:t xml:space="preserve">conventional long form: </w:t>
      </w:r>
      <w:r w:rsidRPr="00927104">
        <w:rPr>
          <w:rStyle w:val="Emphasis"/>
        </w:rPr>
        <w:t>Bolivarian Republic of Venezuela</w:t>
      </w:r>
    </w:p>
    <w:p w14:paraId="1D3AEAC0" w14:textId="77777777" w:rsidR="007939B8" w:rsidRDefault="007939B8" w:rsidP="006B74C6">
      <w:pPr>
        <w:rPr>
          <w:rStyle w:val="Emphasis"/>
        </w:rPr>
      </w:pPr>
    </w:p>
    <w:p w14:paraId="41A572D5" w14:textId="09A1586F" w:rsidR="00906537" w:rsidRDefault="00906537" w:rsidP="004730E4">
      <w:pPr>
        <w:pStyle w:val="Heading3"/>
      </w:pPr>
      <w:proofErr w:type="spellStart"/>
      <w:r w:rsidRPr="00906537">
        <w:lastRenderedPageBreak/>
        <w:t>brv</w:t>
      </w:r>
      <w:proofErr w:type="spellEnd"/>
      <w:r w:rsidR="00E47409">
        <w:t xml:space="preserve"> = country</w:t>
      </w:r>
    </w:p>
    <w:p w14:paraId="1DB85CAC" w14:textId="5096760E" w:rsidR="00B21A08" w:rsidRDefault="00B21A08" w:rsidP="00E47409">
      <w:proofErr w:type="spellStart"/>
      <w:r w:rsidRPr="00357DF1">
        <w:rPr>
          <w:rStyle w:val="Style13ptBold"/>
        </w:rPr>
        <w:t>Liuwen</w:t>
      </w:r>
      <w:proofErr w:type="spellEnd"/>
      <w:r w:rsidRPr="00357DF1">
        <w:rPr>
          <w:rStyle w:val="Style13ptBold"/>
        </w:rPr>
        <w:t xml:space="preserve"> &amp; McCoy ’24</w:t>
      </w:r>
      <w:r>
        <w:t xml:space="preserve"> [</w:t>
      </w:r>
      <w:r w:rsidR="00135E9F">
        <w:t xml:space="preserve">Edwin; </w:t>
      </w:r>
      <w:r w:rsidR="00E8429B" w:rsidRPr="00E8429B">
        <w:t>Professor of Latin-American History, University of New Mexico</w:t>
      </w:r>
      <w:r w:rsidR="00E8429B">
        <w:t xml:space="preserve">. </w:t>
      </w:r>
      <w:r w:rsidR="00135E9F">
        <w:t xml:space="preserve">Jennifer; </w:t>
      </w:r>
      <w:r w:rsidR="00C33C7F" w:rsidRPr="00C33C7F">
        <w:t xml:space="preserve">Professor of Political Science, Georgia State University. Director, Latin American and Caribbean Program, The Carter </w:t>
      </w:r>
      <w:proofErr w:type="spellStart"/>
      <w:proofErr w:type="gramStart"/>
      <w:r w:rsidR="00C33C7F" w:rsidRPr="00C33C7F">
        <w:t>Center</w:t>
      </w:r>
      <w:r w:rsidR="00C33C7F">
        <w:t>.“</w:t>
      </w:r>
      <w:proofErr w:type="gramEnd"/>
      <w:r w:rsidR="00C33C7F" w:rsidRPr="00C33C7F">
        <w:t>Venezuela</w:t>
      </w:r>
      <w:proofErr w:type="spellEnd"/>
      <w:r w:rsidR="00C33C7F">
        <w:t xml:space="preserve">.” </w:t>
      </w:r>
      <w:r w:rsidR="00C33C7F" w:rsidRPr="00C33C7F">
        <w:t>https://www.britannica.com/place/Venezuela</w:t>
      </w:r>
      <w:r w:rsidR="0072672F">
        <w:t>] TDI</w:t>
      </w:r>
    </w:p>
    <w:p w14:paraId="25AB8C7C" w14:textId="5BBDDC46" w:rsidR="00E47409" w:rsidRPr="00093287" w:rsidRDefault="00B21A08" w:rsidP="00E47409">
      <w:pPr>
        <w:rPr>
          <w:sz w:val="16"/>
          <w:lang w:val="es-ES"/>
        </w:rPr>
      </w:pPr>
      <w:proofErr w:type="spellStart"/>
      <w:r w:rsidRPr="00093287">
        <w:rPr>
          <w:rStyle w:val="StyleUnderline"/>
          <w:lang w:val="es-ES"/>
        </w:rPr>
        <w:t>Also</w:t>
      </w:r>
      <w:proofErr w:type="spellEnd"/>
      <w:r w:rsidRPr="00093287">
        <w:rPr>
          <w:rStyle w:val="StyleUnderline"/>
          <w:lang w:val="es-ES"/>
        </w:rPr>
        <w:t xml:space="preserve"> </w:t>
      </w:r>
      <w:proofErr w:type="spellStart"/>
      <w:r w:rsidRPr="00093287">
        <w:rPr>
          <w:rStyle w:val="StyleUnderline"/>
          <w:lang w:val="es-ES"/>
        </w:rPr>
        <w:t>known</w:t>
      </w:r>
      <w:proofErr w:type="spellEnd"/>
      <w:r w:rsidRPr="00093287">
        <w:rPr>
          <w:rStyle w:val="StyleUnderline"/>
          <w:lang w:val="es-ES"/>
        </w:rPr>
        <w:t xml:space="preserve"> as</w:t>
      </w:r>
      <w:r w:rsidRPr="00093287">
        <w:rPr>
          <w:sz w:val="16"/>
          <w:lang w:val="es-ES"/>
        </w:rPr>
        <w:t xml:space="preserve">: </w:t>
      </w:r>
      <w:proofErr w:type="spellStart"/>
      <w:r w:rsidRPr="00093287">
        <w:rPr>
          <w:rStyle w:val="Emphasis"/>
          <w:lang w:val="es-ES"/>
        </w:rPr>
        <w:t>Bolivarian</w:t>
      </w:r>
      <w:proofErr w:type="spellEnd"/>
      <w:r w:rsidRPr="00093287">
        <w:rPr>
          <w:rStyle w:val="Emphasis"/>
          <w:lang w:val="es-ES"/>
        </w:rPr>
        <w:t xml:space="preserve"> </w:t>
      </w:r>
      <w:proofErr w:type="spellStart"/>
      <w:r w:rsidRPr="00093287">
        <w:rPr>
          <w:rStyle w:val="Emphasis"/>
          <w:lang w:val="es-ES"/>
        </w:rPr>
        <w:t>Republic</w:t>
      </w:r>
      <w:proofErr w:type="spellEnd"/>
      <w:r w:rsidRPr="00093287">
        <w:rPr>
          <w:rStyle w:val="Emphasis"/>
          <w:lang w:val="es-ES"/>
        </w:rPr>
        <w:t xml:space="preserve"> </w:t>
      </w:r>
      <w:proofErr w:type="spellStart"/>
      <w:r w:rsidRPr="00093287">
        <w:rPr>
          <w:rStyle w:val="Emphasis"/>
          <w:lang w:val="es-ES"/>
        </w:rPr>
        <w:t>of</w:t>
      </w:r>
      <w:proofErr w:type="spellEnd"/>
      <w:r w:rsidRPr="00093287">
        <w:rPr>
          <w:rStyle w:val="Emphasis"/>
          <w:lang w:val="es-ES"/>
        </w:rPr>
        <w:t xml:space="preserve"> Venezuela</w:t>
      </w:r>
      <w:r w:rsidRPr="00093287">
        <w:rPr>
          <w:sz w:val="16"/>
          <w:lang w:val="es-ES"/>
        </w:rPr>
        <w:t>, República Bolivariana de Venezuela</w:t>
      </w:r>
    </w:p>
    <w:p w14:paraId="0972979B" w14:textId="77777777" w:rsidR="00357DF1" w:rsidRPr="002D5A4D" w:rsidRDefault="00357DF1" w:rsidP="00357DF1">
      <w:pPr>
        <w:rPr>
          <w:sz w:val="16"/>
        </w:rPr>
      </w:pPr>
      <w:r w:rsidRPr="00014579">
        <w:rPr>
          <w:rStyle w:val="StyleUnderline"/>
        </w:rPr>
        <w:t>Venezuela</w:t>
      </w:r>
      <w:r w:rsidRPr="002D5A4D">
        <w:rPr>
          <w:sz w:val="16"/>
        </w:rPr>
        <w:t xml:space="preserve">, </w:t>
      </w:r>
      <w:r w:rsidRPr="00014579">
        <w:rPr>
          <w:rStyle w:val="Emphasis"/>
        </w:rPr>
        <w:t>country</w:t>
      </w:r>
      <w:r w:rsidRPr="00014579">
        <w:rPr>
          <w:rStyle w:val="StyleUnderline"/>
        </w:rPr>
        <w:t xml:space="preserve"> located at the northern end of </w:t>
      </w:r>
      <w:r w:rsidRPr="002D5A4D">
        <w:rPr>
          <w:rStyle w:val="Emphasis"/>
        </w:rPr>
        <w:t>South America</w:t>
      </w:r>
      <w:r w:rsidRPr="002D5A4D">
        <w:rPr>
          <w:sz w:val="16"/>
        </w:rPr>
        <w:t xml:space="preserve">. It occupies a roughly triangular area that is larger than the combined areas of France and Germany. Venezuela is bounded by the Caribbean Sea and the Atlantic Ocean to the north, Guyana to the east, Brazil to the south, and Colombia to the southwest and west. The national capital, Caracas, is Venezuela’s primary </w:t>
      </w:r>
      <w:proofErr w:type="spellStart"/>
      <w:r w:rsidRPr="002D5A4D">
        <w:rPr>
          <w:sz w:val="16"/>
        </w:rPr>
        <w:t>centre</w:t>
      </w:r>
      <w:proofErr w:type="spellEnd"/>
      <w:r w:rsidRPr="002D5A4D">
        <w:rPr>
          <w:sz w:val="16"/>
        </w:rPr>
        <w:t xml:space="preserve"> of industry, commerce, education, and tourism.</w:t>
      </w:r>
    </w:p>
    <w:p w14:paraId="5DEC45E9" w14:textId="77777777" w:rsidR="00906537" w:rsidRDefault="00906537" w:rsidP="006B74C6">
      <w:pPr>
        <w:rPr>
          <w:rStyle w:val="Emphasis"/>
        </w:rPr>
      </w:pPr>
    </w:p>
    <w:p w14:paraId="27824160" w14:textId="05B342BA" w:rsidR="00275B60" w:rsidRDefault="00275B60" w:rsidP="00275B60">
      <w:pPr>
        <w:pStyle w:val="Heading2"/>
      </w:pPr>
      <w:r w:rsidRPr="00275B60">
        <w:lastRenderedPageBreak/>
        <w:t>country = people</w:t>
      </w:r>
    </w:p>
    <w:p w14:paraId="79B1DDF8" w14:textId="77777777" w:rsidR="00275B60" w:rsidRDefault="00275B60" w:rsidP="00275B60">
      <w:pPr>
        <w:pStyle w:val="Heading3"/>
      </w:pPr>
      <w:r>
        <w:lastRenderedPageBreak/>
        <w:t>country = people</w:t>
      </w:r>
    </w:p>
    <w:p w14:paraId="379D5A6C" w14:textId="77777777" w:rsidR="00275B60" w:rsidRDefault="00275B60" w:rsidP="00275B60">
      <w:pPr>
        <w:pStyle w:val="Heading4"/>
      </w:pPr>
      <w:r>
        <w:t xml:space="preserve">‘Country’ refers to the </w:t>
      </w:r>
      <w:r w:rsidRPr="00C900DC">
        <w:rPr>
          <w:u w:val="single"/>
        </w:rPr>
        <w:t>people</w:t>
      </w:r>
      <w:r>
        <w:t>.</w:t>
      </w:r>
    </w:p>
    <w:p w14:paraId="2AA2A74B" w14:textId="77777777" w:rsidR="00275B60" w:rsidRPr="00DF0DFC" w:rsidRDefault="00275B60" w:rsidP="00275B60">
      <w:r w:rsidRPr="00837D49">
        <w:rPr>
          <w:rStyle w:val="Style13ptBold"/>
        </w:rPr>
        <w:t>Meriam Webster ’ND</w:t>
      </w:r>
      <w:r>
        <w:t xml:space="preserve"> [“</w:t>
      </w:r>
      <w:r w:rsidRPr="003812D8">
        <w:t>country</w:t>
      </w:r>
      <w:r>
        <w:t xml:space="preserve">.” </w:t>
      </w:r>
      <w:r w:rsidRPr="009669E2">
        <w:t>https://www.merriam-webster.com/dictionary/country</w:t>
      </w:r>
      <w:r>
        <w:t>] TDI</w:t>
      </w:r>
    </w:p>
    <w:p w14:paraId="3CF8BBB7" w14:textId="77777777" w:rsidR="00275B60" w:rsidRPr="0001766E" w:rsidRDefault="00275B60" w:rsidP="00275B60">
      <w:pPr>
        <w:rPr>
          <w:sz w:val="16"/>
        </w:rPr>
      </w:pPr>
      <w:r w:rsidRPr="00817200">
        <w:rPr>
          <w:rStyle w:val="StyleUnderline"/>
        </w:rPr>
        <w:t xml:space="preserve">the </w:t>
      </w:r>
      <w:r w:rsidRPr="00890D81">
        <w:rPr>
          <w:rStyle w:val="Emphasis"/>
        </w:rPr>
        <w:t>people of a state</w:t>
      </w:r>
      <w:r w:rsidRPr="00817200">
        <w:rPr>
          <w:rStyle w:val="StyleUnderline"/>
        </w:rPr>
        <w:t xml:space="preserve"> or </w:t>
      </w:r>
      <w:proofErr w:type="gramStart"/>
      <w:r w:rsidRPr="00817200">
        <w:rPr>
          <w:rStyle w:val="StyleUnderline"/>
        </w:rPr>
        <w:t>district</w:t>
      </w:r>
      <w:r w:rsidRPr="0001766E">
        <w:rPr>
          <w:sz w:val="16"/>
        </w:rPr>
        <w:t xml:space="preserve"> :</w:t>
      </w:r>
      <w:proofErr w:type="gramEnd"/>
      <w:r w:rsidRPr="0001766E">
        <w:rPr>
          <w:sz w:val="16"/>
        </w:rPr>
        <w:t xml:space="preserve"> </w:t>
      </w:r>
      <w:r w:rsidRPr="00817200">
        <w:rPr>
          <w:rStyle w:val="Emphasis"/>
        </w:rPr>
        <w:t>POPULACE</w:t>
      </w:r>
    </w:p>
    <w:p w14:paraId="0ED76E5F" w14:textId="77777777" w:rsidR="00275B60" w:rsidRPr="00275B60" w:rsidRDefault="00275B60" w:rsidP="00275B60"/>
    <w:p w14:paraId="292E9119" w14:textId="7A6A831E" w:rsidR="007939B8" w:rsidRDefault="007939B8" w:rsidP="007939B8">
      <w:pPr>
        <w:pStyle w:val="Heading2"/>
      </w:pPr>
      <w:r w:rsidRPr="00927104">
        <w:lastRenderedPageBreak/>
        <w:t>mechanics</w:t>
      </w:r>
    </w:p>
    <w:p w14:paraId="0205A255" w14:textId="1D595A55" w:rsidR="00B63E1D" w:rsidRPr="00927104" w:rsidRDefault="006A0333" w:rsidP="00B63E1D">
      <w:pPr>
        <w:pStyle w:val="Heading3"/>
        <w:rPr>
          <w:rFonts w:cs="Arial"/>
        </w:rPr>
      </w:pPr>
      <w:r>
        <w:rPr>
          <w:rFonts w:cs="Arial"/>
        </w:rPr>
        <w:lastRenderedPageBreak/>
        <w:t xml:space="preserve">plain meaning </w:t>
      </w:r>
      <w:proofErr w:type="spellStart"/>
      <w:r>
        <w:rPr>
          <w:rFonts w:cs="Arial"/>
        </w:rPr>
        <w:t>prodict</w:t>
      </w:r>
      <w:proofErr w:type="spellEnd"/>
    </w:p>
    <w:p w14:paraId="2D3156F2" w14:textId="77777777" w:rsidR="00B63E1D" w:rsidRPr="00927104" w:rsidRDefault="00B63E1D" w:rsidP="00B63E1D">
      <w:pPr>
        <w:pStyle w:val="Heading4"/>
        <w:rPr>
          <w:rFonts w:cs="Arial"/>
        </w:rPr>
      </w:pPr>
      <w:r w:rsidRPr="00927104">
        <w:rPr>
          <w:rFonts w:cs="Arial"/>
        </w:rPr>
        <w:t>Prefer plain meaning.</w:t>
      </w:r>
    </w:p>
    <w:p w14:paraId="58E14101" w14:textId="0C273506" w:rsidR="00B63E1D" w:rsidRPr="00927104" w:rsidRDefault="00B63E1D" w:rsidP="00B63E1D">
      <w:r w:rsidRPr="00927104">
        <w:rPr>
          <w:rStyle w:val="Style13ptBold"/>
        </w:rPr>
        <w:t xml:space="preserve">Scalia &amp; Garner </w:t>
      </w:r>
      <w:r w:rsidR="00C7523D">
        <w:rPr>
          <w:rStyle w:val="Style13ptBold"/>
        </w:rPr>
        <w:t>’</w:t>
      </w:r>
      <w:r w:rsidRPr="00927104">
        <w:rPr>
          <w:rStyle w:val="Style13ptBold"/>
        </w:rPr>
        <w:t>12</w:t>
      </w:r>
      <w:r w:rsidRPr="00927104">
        <w:t xml:space="preserve"> </w:t>
      </w:r>
      <w:r w:rsidR="00652299">
        <w:t>[</w:t>
      </w:r>
      <w:r w:rsidR="0002401C">
        <w:t xml:space="preserve">Antonin; </w:t>
      </w:r>
      <w:r w:rsidRPr="00927104">
        <w:t xml:space="preserve">Justice on the Supreme Court of the United States. </w:t>
      </w:r>
      <w:r w:rsidR="00332861">
        <w:t xml:space="preserve">Bryan; </w:t>
      </w:r>
      <w:r w:rsidRPr="00927104">
        <w:t>American lawyer, lexicographer, and teacher. “Ordinary-Meaning Canon.” Reading Law: The Interpretation of Legal Texts, Chapter 6.</w:t>
      </w:r>
      <w:r w:rsidR="00560335">
        <w:t>]</w:t>
      </w:r>
      <w:r w:rsidR="00C17244">
        <w:t xml:space="preserve"> TDI</w:t>
      </w:r>
    </w:p>
    <w:p w14:paraId="5487B1F5" w14:textId="77777777" w:rsidR="00B63E1D" w:rsidRPr="00927104" w:rsidRDefault="00B63E1D" w:rsidP="00B63E1D">
      <w:pPr>
        <w:rPr>
          <w:sz w:val="16"/>
        </w:rPr>
      </w:pPr>
      <w:r w:rsidRPr="00927104">
        <w:rPr>
          <w:rStyle w:val="StyleUnderline"/>
        </w:rPr>
        <w:t xml:space="preserve">Words are to be understood in </w:t>
      </w:r>
      <w:r w:rsidRPr="00927104">
        <w:rPr>
          <w:rStyle w:val="Emphasis"/>
        </w:rPr>
        <w:t>their ordinary, everyday meanings</w:t>
      </w:r>
      <w:r w:rsidRPr="00927104">
        <w:rPr>
          <w:rStyle w:val="StyleUnderline"/>
        </w:rPr>
        <w:t>—</w:t>
      </w:r>
      <w:r w:rsidRPr="00927104">
        <w:rPr>
          <w:rStyle w:val="Emphasis"/>
        </w:rPr>
        <w:t>unless</w:t>
      </w:r>
      <w:r w:rsidRPr="00927104">
        <w:rPr>
          <w:rStyle w:val="StyleUnderline"/>
        </w:rPr>
        <w:t xml:space="preserve"> the context </w:t>
      </w:r>
      <w:r w:rsidRPr="00927104">
        <w:rPr>
          <w:rStyle w:val="Emphasis"/>
        </w:rPr>
        <w:t>indicates</w:t>
      </w:r>
      <w:r w:rsidRPr="00927104">
        <w:rPr>
          <w:sz w:val="16"/>
        </w:rPr>
        <w:t xml:space="preserve"> that </w:t>
      </w:r>
      <w:r w:rsidRPr="00927104">
        <w:rPr>
          <w:rStyle w:val="StyleUnderline"/>
        </w:rPr>
        <w:t xml:space="preserve">they bear a </w:t>
      </w:r>
      <w:r w:rsidRPr="00927104">
        <w:rPr>
          <w:rStyle w:val="Emphasis"/>
        </w:rPr>
        <w:t>technical sense</w:t>
      </w:r>
      <w:r w:rsidRPr="00927104">
        <w:rPr>
          <w:sz w:val="16"/>
        </w:rPr>
        <w:t>.</w:t>
      </w:r>
    </w:p>
    <w:p w14:paraId="74C2E1BC" w14:textId="77777777" w:rsidR="00B63E1D" w:rsidRPr="00927104" w:rsidRDefault="00B63E1D" w:rsidP="00B63E1D">
      <w:pPr>
        <w:ind w:left="720"/>
        <w:rPr>
          <w:sz w:val="16"/>
        </w:rPr>
      </w:pPr>
      <w:r w:rsidRPr="00927104">
        <w:rPr>
          <w:sz w:val="16"/>
        </w:rPr>
        <w:t>“The enlightened patriots who framed our constitution, and the people who adopted it, must be understood to have employed words in their natural sense, and to have intended what they have said.”</w:t>
      </w:r>
    </w:p>
    <w:p w14:paraId="735AF26A" w14:textId="77777777" w:rsidR="00B63E1D" w:rsidRPr="00927104" w:rsidRDefault="00B63E1D" w:rsidP="00B63E1D">
      <w:pPr>
        <w:ind w:left="720" w:firstLine="720"/>
        <w:rPr>
          <w:sz w:val="16"/>
        </w:rPr>
      </w:pPr>
      <w:r w:rsidRPr="00927104">
        <w:rPr>
          <w:sz w:val="16"/>
        </w:rPr>
        <w:t>Chief Justice John Marshall,</w:t>
      </w:r>
    </w:p>
    <w:p w14:paraId="0312B5C9" w14:textId="77777777" w:rsidR="00B63E1D" w:rsidRPr="00927104" w:rsidRDefault="00B63E1D" w:rsidP="00B63E1D">
      <w:pPr>
        <w:ind w:left="720" w:firstLine="720"/>
        <w:rPr>
          <w:sz w:val="16"/>
        </w:rPr>
      </w:pPr>
      <w:r w:rsidRPr="00927104">
        <w:rPr>
          <w:sz w:val="16"/>
        </w:rPr>
        <w:t>Gibbons v. Ogden, 22 U.S. (9 Wheat.) 1, 71 (1824).</w:t>
      </w:r>
    </w:p>
    <w:p w14:paraId="7FD49B6F" w14:textId="77777777" w:rsidR="00B63E1D" w:rsidRPr="00927104" w:rsidRDefault="00B63E1D" w:rsidP="00B63E1D">
      <w:pPr>
        <w:rPr>
          <w:rStyle w:val="StyleUnderline"/>
        </w:rPr>
      </w:pPr>
      <w:r w:rsidRPr="00927104">
        <w:rPr>
          <w:rStyle w:val="StyleUnderline"/>
        </w:rPr>
        <w:t xml:space="preserve">The </w:t>
      </w:r>
      <w:r w:rsidRPr="00927104">
        <w:rPr>
          <w:rStyle w:val="Emphasis"/>
        </w:rPr>
        <w:t>ordinary-meaning rule</w:t>
      </w:r>
      <w:r w:rsidRPr="00927104">
        <w:rPr>
          <w:rStyle w:val="StyleUnderline"/>
        </w:rPr>
        <w:t xml:space="preserve"> is the </w:t>
      </w:r>
      <w:r w:rsidRPr="00927104">
        <w:rPr>
          <w:rStyle w:val="Emphasis"/>
        </w:rPr>
        <w:t>most fundamental semantic rule</w:t>
      </w:r>
      <w:r w:rsidRPr="00927104">
        <w:rPr>
          <w:rStyle w:val="StyleUnderline"/>
        </w:rPr>
        <w:t xml:space="preserve"> of interpretation</w:t>
      </w:r>
      <w:r w:rsidRPr="00927104">
        <w:rPr>
          <w:sz w:val="16"/>
        </w:rPr>
        <w:t xml:space="preserve">.1 </w:t>
      </w:r>
      <w:r w:rsidRPr="00927104">
        <w:rPr>
          <w:rStyle w:val="StyleUnderline"/>
        </w:rPr>
        <w:t xml:space="preserve">It governs constitutions, statutes, rules, </w:t>
      </w:r>
      <w:r w:rsidRPr="00927104">
        <w:rPr>
          <w:rStyle w:val="Emphasis"/>
        </w:rPr>
        <w:t>and</w:t>
      </w:r>
      <w:r w:rsidRPr="00927104">
        <w:rPr>
          <w:rStyle w:val="StyleUnderline"/>
        </w:rPr>
        <w:t xml:space="preserve"> private instruments. Interpreters should </w:t>
      </w:r>
      <w:r w:rsidRPr="00927104">
        <w:rPr>
          <w:rStyle w:val="Emphasis"/>
        </w:rPr>
        <w:t>not</w:t>
      </w:r>
      <w:r w:rsidRPr="00927104">
        <w:rPr>
          <w:rStyle w:val="StyleUnderline"/>
        </w:rPr>
        <w:t xml:space="preserve"> be required to divine </w:t>
      </w:r>
      <w:r w:rsidRPr="00927104">
        <w:rPr>
          <w:rStyle w:val="Emphasis"/>
        </w:rPr>
        <w:t>arcane nuances</w:t>
      </w:r>
      <w:r w:rsidRPr="00927104">
        <w:rPr>
          <w:rStyle w:val="StyleUnderline"/>
        </w:rPr>
        <w:t xml:space="preserve"> or</w:t>
      </w:r>
      <w:r w:rsidRPr="00927104">
        <w:rPr>
          <w:sz w:val="16"/>
        </w:rPr>
        <w:t xml:space="preserve"> to </w:t>
      </w:r>
      <w:r w:rsidRPr="00927104">
        <w:rPr>
          <w:rStyle w:val="StyleUnderline"/>
        </w:rPr>
        <w:t xml:space="preserve">discover </w:t>
      </w:r>
      <w:r w:rsidRPr="00927104">
        <w:rPr>
          <w:rStyle w:val="Emphasis"/>
        </w:rPr>
        <w:t>hidden meanings</w:t>
      </w:r>
      <w:r w:rsidRPr="00927104">
        <w:rPr>
          <w:sz w:val="16"/>
        </w:rPr>
        <w:t xml:space="preserve">. Justice Joseph Story’s words are as true today as they were when written in the middle of the 19th century, and they are </w:t>
      </w:r>
      <w:r w:rsidRPr="00927104">
        <w:rPr>
          <w:rStyle w:val="StyleUnderline"/>
        </w:rPr>
        <w:t>true</w:t>
      </w:r>
      <w:r w:rsidRPr="00927104">
        <w:rPr>
          <w:sz w:val="16"/>
        </w:rPr>
        <w:t xml:space="preserve"> not just of constitutions but </w:t>
      </w:r>
      <w:r w:rsidRPr="00927104">
        <w:rPr>
          <w:rStyle w:val="StyleUnderline"/>
        </w:rPr>
        <w:t xml:space="preserve">of </w:t>
      </w:r>
      <w:r w:rsidRPr="00927104">
        <w:rPr>
          <w:rStyle w:val="Emphasis"/>
        </w:rPr>
        <w:t>all</w:t>
      </w:r>
      <w:r w:rsidRPr="00927104">
        <w:rPr>
          <w:sz w:val="16"/>
        </w:rPr>
        <w:t xml:space="preserve"> other </w:t>
      </w:r>
      <w:r w:rsidRPr="00927104">
        <w:rPr>
          <w:rStyle w:val="Emphasis"/>
        </w:rPr>
        <w:t>legal instruments</w:t>
      </w:r>
      <w:r w:rsidRPr="00927104">
        <w:rPr>
          <w:rStyle w:val="StyleUnderline"/>
        </w:rPr>
        <w:t>:</w:t>
      </w:r>
    </w:p>
    <w:p w14:paraId="01B01A5F" w14:textId="33FC7956" w:rsidR="00626739" w:rsidRPr="00B63E1D" w:rsidRDefault="00B63E1D" w:rsidP="00B63E1D">
      <w:pPr>
        <w:ind w:left="720"/>
        <w:rPr>
          <w:sz w:val="16"/>
        </w:rPr>
      </w:pPr>
      <w:r w:rsidRPr="00927104">
        <w:rPr>
          <w:rStyle w:val="Emphasis"/>
        </w:rPr>
        <w:t>[E]very word</w:t>
      </w:r>
      <w:r w:rsidRPr="00927104">
        <w:rPr>
          <w:sz w:val="16"/>
        </w:rPr>
        <w:t xml:space="preserve"> employed in the constitution </w:t>
      </w:r>
      <w:r w:rsidRPr="00927104">
        <w:rPr>
          <w:rStyle w:val="StyleUnderline"/>
        </w:rPr>
        <w:t xml:space="preserve">is to be expounded in </w:t>
      </w:r>
      <w:r w:rsidRPr="00927104">
        <w:rPr>
          <w:rStyle w:val="Emphasis"/>
        </w:rPr>
        <w:t>its plain, obvious, and common sense</w:t>
      </w:r>
      <w:r w:rsidRPr="00927104">
        <w:rPr>
          <w:rStyle w:val="StyleUnderline"/>
        </w:rPr>
        <w:t>, unless the context</w:t>
      </w:r>
      <w:r w:rsidRPr="00927104">
        <w:rPr>
          <w:sz w:val="16"/>
        </w:rPr>
        <w:t xml:space="preserve"> furnishes some ground to </w:t>
      </w:r>
      <w:r w:rsidRPr="00927104">
        <w:rPr>
          <w:rStyle w:val="StyleUnderline"/>
        </w:rPr>
        <w:t>control</w:t>
      </w:r>
      <w:r w:rsidRPr="00927104">
        <w:rPr>
          <w:sz w:val="16"/>
        </w:rPr>
        <w:t xml:space="preserve">, qualify, or enlarge </w:t>
      </w:r>
      <w:r w:rsidRPr="00927104">
        <w:rPr>
          <w:rStyle w:val="StyleUnderline"/>
        </w:rPr>
        <w:t>it</w:t>
      </w:r>
      <w:r w:rsidRPr="00927104">
        <w:rPr>
          <w:sz w:val="16"/>
        </w:rPr>
        <w:t>. Constitutions are not designed for metaphysical or logical subtleties, for niceties of expression, for critical propriety, for elaborate shades of meaning, or for the exercise of philosophical acuteness or judicial research. They are instruments of a practical nature, founded on the common business of human life, adapted to common wants, designed for common use, and fitted for common understandings.2</w:t>
      </w:r>
    </w:p>
    <w:sectPr w:rsidR="00626739" w:rsidRPr="00B63E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B256" w14:textId="77777777" w:rsidR="00087DCC" w:rsidRDefault="00087DCC" w:rsidP="00066D2C">
      <w:pPr>
        <w:spacing w:after="0" w:line="240" w:lineRule="auto"/>
      </w:pPr>
      <w:r>
        <w:separator/>
      </w:r>
    </w:p>
  </w:endnote>
  <w:endnote w:type="continuationSeparator" w:id="0">
    <w:p w14:paraId="4DCA2A52" w14:textId="77777777" w:rsidR="00087DCC" w:rsidRDefault="00087DCC"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F134" w14:textId="77777777" w:rsidR="00087DCC" w:rsidRDefault="00087DCC" w:rsidP="00066D2C">
      <w:pPr>
        <w:spacing w:after="0" w:line="240" w:lineRule="auto"/>
      </w:pPr>
      <w:r>
        <w:separator/>
      </w:r>
    </w:p>
  </w:footnote>
  <w:footnote w:type="continuationSeparator" w:id="0">
    <w:p w14:paraId="4E6BE0BA" w14:textId="77777777" w:rsidR="00087DCC" w:rsidRDefault="00087DCC"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37753"/>
    <w:multiLevelType w:val="hybridMultilevel"/>
    <w:tmpl w:val="B802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 w:numId="45" w16cid:durableId="441533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19576281792"/>
    <w:docVar w:name="VerbatimVersion" w:val="6.0.0"/>
    <w:docVar w:name="WordVersion" w:val="16.0"/>
  </w:docVars>
  <w:rsids>
    <w:rsidRoot w:val="00E74980"/>
    <w:rsid w:val="0000114F"/>
    <w:rsid w:val="00001198"/>
    <w:rsid w:val="00001C7E"/>
    <w:rsid w:val="0000487C"/>
    <w:rsid w:val="0000568D"/>
    <w:rsid w:val="00011FEF"/>
    <w:rsid w:val="00013C8B"/>
    <w:rsid w:val="00014579"/>
    <w:rsid w:val="0001601A"/>
    <w:rsid w:val="0001766E"/>
    <w:rsid w:val="00023AEF"/>
    <w:rsid w:val="0002401C"/>
    <w:rsid w:val="000240B2"/>
    <w:rsid w:val="000250CA"/>
    <w:rsid w:val="000262CA"/>
    <w:rsid w:val="00027E7C"/>
    <w:rsid w:val="00032119"/>
    <w:rsid w:val="000427BD"/>
    <w:rsid w:val="00043C82"/>
    <w:rsid w:val="00046DE4"/>
    <w:rsid w:val="00050415"/>
    <w:rsid w:val="00050713"/>
    <w:rsid w:val="00053D0F"/>
    <w:rsid w:val="000559A4"/>
    <w:rsid w:val="00056966"/>
    <w:rsid w:val="000615B0"/>
    <w:rsid w:val="00063921"/>
    <w:rsid w:val="000657E9"/>
    <w:rsid w:val="00066D2C"/>
    <w:rsid w:val="0007328F"/>
    <w:rsid w:val="00073F92"/>
    <w:rsid w:val="0007423D"/>
    <w:rsid w:val="00074F1E"/>
    <w:rsid w:val="000753CC"/>
    <w:rsid w:val="000754BF"/>
    <w:rsid w:val="0007573B"/>
    <w:rsid w:val="0007578B"/>
    <w:rsid w:val="0007692C"/>
    <w:rsid w:val="00076EA7"/>
    <w:rsid w:val="00080E37"/>
    <w:rsid w:val="00080F27"/>
    <w:rsid w:val="00083E09"/>
    <w:rsid w:val="00084C6F"/>
    <w:rsid w:val="00086A1F"/>
    <w:rsid w:val="00086D35"/>
    <w:rsid w:val="00087DCC"/>
    <w:rsid w:val="00090247"/>
    <w:rsid w:val="000912B1"/>
    <w:rsid w:val="00093287"/>
    <w:rsid w:val="00093AB9"/>
    <w:rsid w:val="00094DF4"/>
    <w:rsid w:val="000961CD"/>
    <w:rsid w:val="00097000"/>
    <w:rsid w:val="000A0198"/>
    <w:rsid w:val="000A0585"/>
    <w:rsid w:val="000A218A"/>
    <w:rsid w:val="000A221F"/>
    <w:rsid w:val="000A239C"/>
    <w:rsid w:val="000A4AE6"/>
    <w:rsid w:val="000A5EE1"/>
    <w:rsid w:val="000B3425"/>
    <w:rsid w:val="000B37D3"/>
    <w:rsid w:val="000B5301"/>
    <w:rsid w:val="000B5FBB"/>
    <w:rsid w:val="000B6974"/>
    <w:rsid w:val="000B6B3E"/>
    <w:rsid w:val="000C0F3E"/>
    <w:rsid w:val="000C137E"/>
    <w:rsid w:val="000D0D08"/>
    <w:rsid w:val="000D2692"/>
    <w:rsid w:val="000D5417"/>
    <w:rsid w:val="000D739E"/>
    <w:rsid w:val="000D797D"/>
    <w:rsid w:val="000D7A2C"/>
    <w:rsid w:val="000E022E"/>
    <w:rsid w:val="000E0913"/>
    <w:rsid w:val="000E13F7"/>
    <w:rsid w:val="000E2525"/>
    <w:rsid w:val="000E30A2"/>
    <w:rsid w:val="000F0F57"/>
    <w:rsid w:val="000F18E7"/>
    <w:rsid w:val="000F1E95"/>
    <w:rsid w:val="000F3D27"/>
    <w:rsid w:val="000F5C68"/>
    <w:rsid w:val="000F6390"/>
    <w:rsid w:val="000F6530"/>
    <w:rsid w:val="000F775F"/>
    <w:rsid w:val="000F7B62"/>
    <w:rsid w:val="001014FC"/>
    <w:rsid w:val="0010417F"/>
    <w:rsid w:val="00105540"/>
    <w:rsid w:val="00105C8A"/>
    <w:rsid w:val="00107095"/>
    <w:rsid w:val="001119CE"/>
    <w:rsid w:val="001119F7"/>
    <w:rsid w:val="001128A3"/>
    <w:rsid w:val="00113F93"/>
    <w:rsid w:val="00114316"/>
    <w:rsid w:val="001149FE"/>
    <w:rsid w:val="001154BB"/>
    <w:rsid w:val="00117F85"/>
    <w:rsid w:val="00117F87"/>
    <w:rsid w:val="001218F5"/>
    <w:rsid w:val="00122202"/>
    <w:rsid w:val="00126CCB"/>
    <w:rsid w:val="00127061"/>
    <w:rsid w:val="00130FF8"/>
    <w:rsid w:val="00131B53"/>
    <w:rsid w:val="001327C1"/>
    <w:rsid w:val="001329A3"/>
    <w:rsid w:val="00134120"/>
    <w:rsid w:val="001356C8"/>
    <w:rsid w:val="00135E9F"/>
    <w:rsid w:val="001378C8"/>
    <w:rsid w:val="001404C2"/>
    <w:rsid w:val="00140A6B"/>
    <w:rsid w:val="00141548"/>
    <w:rsid w:val="00144AD4"/>
    <w:rsid w:val="00146731"/>
    <w:rsid w:val="00146F2E"/>
    <w:rsid w:val="00150A2E"/>
    <w:rsid w:val="00152070"/>
    <w:rsid w:val="00152BF7"/>
    <w:rsid w:val="00160942"/>
    <w:rsid w:val="001612DC"/>
    <w:rsid w:val="00163574"/>
    <w:rsid w:val="001645D4"/>
    <w:rsid w:val="0016567B"/>
    <w:rsid w:val="0016568A"/>
    <w:rsid w:val="00170A72"/>
    <w:rsid w:val="00171A2A"/>
    <w:rsid w:val="001723BA"/>
    <w:rsid w:val="00175A0C"/>
    <w:rsid w:val="00180A4E"/>
    <w:rsid w:val="00181F58"/>
    <w:rsid w:val="001830BB"/>
    <w:rsid w:val="00183491"/>
    <w:rsid w:val="00186B65"/>
    <w:rsid w:val="001877F6"/>
    <w:rsid w:val="00190CDA"/>
    <w:rsid w:val="00195482"/>
    <w:rsid w:val="00196737"/>
    <w:rsid w:val="00196816"/>
    <w:rsid w:val="0019779A"/>
    <w:rsid w:val="001977CD"/>
    <w:rsid w:val="0019782C"/>
    <w:rsid w:val="001A07A2"/>
    <w:rsid w:val="001A13BB"/>
    <w:rsid w:val="001A1422"/>
    <w:rsid w:val="001A3079"/>
    <w:rsid w:val="001A4D9A"/>
    <w:rsid w:val="001A5DDA"/>
    <w:rsid w:val="001A6960"/>
    <w:rsid w:val="001B0340"/>
    <w:rsid w:val="001B1595"/>
    <w:rsid w:val="001B1762"/>
    <w:rsid w:val="001B18CF"/>
    <w:rsid w:val="001B2C27"/>
    <w:rsid w:val="001B30EC"/>
    <w:rsid w:val="001B49FC"/>
    <w:rsid w:val="001B6F44"/>
    <w:rsid w:val="001B7401"/>
    <w:rsid w:val="001B7C39"/>
    <w:rsid w:val="001C0A69"/>
    <w:rsid w:val="001C16A5"/>
    <w:rsid w:val="001C33BC"/>
    <w:rsid w:val="001C48D7"/>
    <w:rsid w:val="001D0F08"/>
    <w:rsid w:val="001D1994"/>
    <w:rsid w:val="001D2EF5"/>
    <w:rsid w:val="001D6D5C"/>
    <w:rsid w:val="001D7A6D"/>
    <w:rsid w:val="001E4A64"/>
    <w:rsid w:val="001E61F5"/>
    <w:rsid w:val="001F0C01"/>
    <w:rsid w:val="001F1F4D"/>
    <w:rsid w:val="001F3A29"/>
    <w:rsid w:val="002005AF"/>
    <w:rsid w:val="00200C1A"/>
    <w:rsid w:val="002052E3"/>
    <w:rsid w:val="00210DC2"/>
    <w:rsid w:val="002110D6"/>
    <w:rsid w:val="00213A14"/>
    <w:rsid w:val="00214E2A"/>
    <w:rsid w:val="002152F9"/>
    <w:rsid w:val="0021530A"/>
    <w:rsid w:val="0021551B"/>
    <w:rsid w:val="002212A9"/>
    <w:rsid w:val="002234FB"/>
    <w:rsid w:val="00225437"/>
    <w:rsid w:val="002263A1"/>
    <w:rsid w:val="00232746"/>
    <w:rsid w:val="00232DAC"/>
    <w:rsid w:val="002338AE"/>
    <w:rsid w:val="00234CF8"/>
    <w:rsid w:val="00236707"/>
    <w:rsid w:val="002376B0"/>
    <w:rsid w:val="00241116"/>
    <w:rsid w:val="002412A0"/>
    <w:rsid w:val="0024328E"/>
    <w:rsid w:val="00246916"/>
    <w:rsid w:val="002508CB"/>
    <w:rsid w:val="002514A7"/>
    <w:rsid w:val="00253733"/>
    <w:rsid w:val="00254376"/>
    <w:rsid w:val="00256AC0"/>
    <w:rsid w:val="002573AF"/>
    <w:rsid w:val="00262684"/>
    <w:rsid w:val="00263CC5"/>
    <w:rsid w:val="00271866"/>
    <w:rsid w:val="00273AA1"/>
    <w:rsid w:val="0027443C"/>
    <w:rsid w:val="00275441"/>
    <w:rsid w:val="00275B60"/>
    <w:rsid w:val="00276E12"/>
    <w:rsid w:val="00277BB1"/>
    <w:rsid w:val="00281AE6"/>
    <w:rsid w:val="00281B05"/>
    <w:rsid w:val="00281F7F"/>
    <w:rsid w:val="0028236F"/>
    <w:rsid w:val="00282932"/>
    <w:rsid w:val="00282FFC"/>
    <w:rsid w:val="002878D0"/>
    <w:rsid w:val="00290F1B"/>
    <w:rsid w:val="00291C09"/>
    <w:rsid w:val="00292525"/>
    <w:rsid w:val="002A095F"/>
    <w:rsid w:val="002A3018"/>
    <w:rsid w:val="002A4DA5"/>
    <w:rsid w:val="002A57B1"/>
    <w:rsid w:val="002B2116"/>
    <w:rsid w:val="002B3050"/>
    <w:rsid w:val="002B3412"/>
    <w:rsid w:val="002B545A"/>
    <w:rsid w:val="002B5F0C"/>
    <w:rsid w:val="002C0731"/>
    <w:rsid w:val="002C0B33"/>
    <w:rsid w:val="002C20E9"/>
    <w:rsid w:val="002C30D9"/>
    <w:rsid w:val="002C4709"/>
    <w:rsid w:val="002C6C7D"/>
    <w:rsid w:val="002C769C"/>
    <w:rsid w:val="002C7AED"/>
    <w:rsid w:val="002D063B"/>
    <w:rsid w:val="002D2593"/>
    <w:rsid w:val="002D2594"/>
    <w:rsid w:val="002D3647"/>
    <w:rsid w:val="002D418C"/>
    <w:rsid w:val="002D5A4D"/>
    <w:rsid w:val="002E4DDC"/>
    <w:rsid w:val="002E663F"/>
    <w:rsid w:val="002F0384"/>
    <w:rsid w:val="002F057B"/>
    <w:rsid w:val="002F276B"/>
    <w:rsid w:val="002F28CE"/>
    <w:rsid w:val="002F2CFC"/>
    <w:rsid w:val="002F37D1"/>
    <w:rsid w:val="002F5A47"/>
    <w:rsid w:val="002F636E"/>
    <w:rsid w:val="002F717E"/>
    <w:rsid w:val="00300F2F"/>
    <w:rsid w:val="0030154A"/>
    <w:rsid w:val="0030261D"/>
    <w:rsid w:val="00304257"/>
    <w:rsid w:val="00304A78"/>
    <w:rsid w:val="00306FDE"/>
    <w:rsid w:val="00307FBA"/>
    <w:rsid w:val="003106D9"/>
    <w:rsid w:val="00311112"/>
    <w:rsid w:val="0031160B"/>
    <w:rsid w:val="00311C1F"/>
    <w:rsid w:val="0031230A"/>
    <w:rsid w:val="00312627"/>
    <w:rsid w:val="0031266A"/>
    <w:rsid w:val="0031380C"/>
    <w:rsid w:val="00313F25"/>
    <w:rsid w:val="0031522A"/>
    <w:rsid w:val="003155A6"/>
    <w:rsid w:val="0031761F"/>
    <w:rsid w:val="003225DF"/>
    <w:rsid w:val="00323B5F"/>
    <w:rsid w:val="00323E50"/>
    <w:rsid w:val="003264E7"/>
    <w:rsid w:val="00331593"/>
    <w:rsid w:val="00331BE5"/>
    <w:rsid w:val="00332861"/>
    <w:rsid w:val="00333A69"/>
    <w:rsid w:val="003352D6"/>
    <w:rsid w:val="00337053"/>
    <w:rsid w:val="00340131"/>
    <w:rsid w:val="00345BF2"/>
    <w:rsid w:val="00347131"/>
    <w:rsid w:val="003479B5"/>
    <w:rsid w:val="003500B6"/>
    <w:rsid w:val="003516A7"/>
    <w:rsid w:val="0035248D"/>
    <w:rsid w:val="00352622"/>
    <w:rsid w:val="00352EAD"/>
    <w:rsid w:val="00355427"/>
    <w:rsid w:val="00355B45"/>
    <w:rsid w:val="00357165"/>
    <w:rsid w:val="003572A5"/>
    <w:rsid w:val="0035731D"/>
    <w:rsid w:val="00357DF1"/>
    <w:rsid w:val="00361FA0"/>
    <w:rsid w:val="00365CBC"/>
    <w:rsid w:val="003662DB"/>
    <w:rsid w:val="00367D96"/>
    <w:rsid w:val="00370583"/>
    <w:rsid w:val="003706D8"/>
    <w:rsid w:val="00370786"/>
    <w:rsid w:val="0037095F"/>
    <w:rsid w:val="00373A1C"/>
    <w:rsid w:val="00373B7F"/>
    <w:rsid w:val="00375056"/>
    <w:rsid w:val="003753F6"/>
    <w:rsid w:val="003779C8"/>
    <w:rsid w:val="00377CBF"/>
    <w:rsid w:val="003812D8"/>
    <w:rsid w:val="0038240A"/>
    <w:rsid w:val="00382BA3"/>
    <w:rsid w:val="00382DF7"/>
    <w:rsid w:val="003867ED"/>
    <w:rsid w:val="00386B5B"/>
    <w:rsid w:val="003911A5"/>
    <w:rsid w:val="0039157C"/>
    <w:rsid w:val="00392D93"/>
    <w:rsid w:val="00393EF2"/>
    <w:rsid w:val="00394F71"/>
    <w:rsid w:val="00396D52"/>
    <w:rsid w:val="003979DA"/>
    <w:rsid w:val="003A12F4"/>
    <w:rsid w:val="003A25C3"/>
    <w:rsid w:val="003A450A"/>
    <w:rsid w:val="003A46B4"/>
    <w:rsid w:val="003A5CE8"/>
    <w:rsid w:val="003A698D"/>
    <w:rsid w:val="003B17B3"/>
    <w:rsid w:val="003B4705"/>
    <w:rsid w:val="003B4F86"/>
    <w:rsid w:val="003B734D"/>
    <w:rsid w:val="003C00D3"/>
    <w:rsid w:val="003C177C"/>
    <w:rsid w:val="003C23B6"/>
    <w:rsid w:val="003C251E"/>
    <w:rsid w:val="003C3CCA"/>
    <w:rsid w:val="003C5C5A"/>
    <w:rsid w:val="003C6CA9"/>
    <w:rsid w:val="003D3B44"/>
    <w:rsid w:val="003D4150"/>
    <w:rsid w:val="003D5367"/>
    <w:rsid w:val="003E6953"/>
    <w:rsid w:val="003E6E77"/>
    <w:rsid w:val="003E77D5"/>
    <w:rsid w:val="003F3920"/>
    <w:rsid w:val="003F4D5F"/>
    <w:rsid w:val="00405AD7"/>
    <w:rsid w:val="00406053"/>
    <w:rsid w:val="004127EF"/>
    <w:rsid w:val="00414EB4"/>
    <w:rsid w:val="0041507E"/>
    <w:rsid w:val="00417018"/>
    <w:rsid w:val="00417241"/>
    <w:rsid w:val="004208C6"/>
    <w:rsid w:val="00425531"/>
    <w:rsid w:val="00425A83"/>
    <w:rsid w:val="00426CC6"/>
    <w:rsid w:val="00426F0A"/>
    <w:rsid w:val="00430368"/>
    <w:rsid w:val="00431905"/>
    <w:rsid w:val="004326E6"/>
    <w:rsid w:val="00432F5F"/>
    <w:rsid w:val="0043419E"/>
    <w:rsid w:val="0043450D"/>
    <w:rsid w:val="004348C6"/>
    <w:rsid w:val="00434BCC"/>
    <w:rsid w:val="004350BF"/>
    <w:rsid w:val="00435588"/>
    <w:rsid w:val="00435AB5"/>
    <w:rsid w:val="004429F3"/>
    <w:rsid w:val="004433A0"/>
    <w:rsid w:val="004436F8"/>
    <w:rsid w:val="00445D3A"/>
    <w:rsid w:val="00447BAE"/>
    <w:rsid w:val="00450DA4"/>
    <w:rsid w:val="0045107A"/>
    <w:rsid w:val="00457F13"/>
    <w:rsid w:val="004604DA"/>
    <w:rsid w:val="00462267"/>
    <w:rsid w:val="00462B60"/>
    <w:rsid w:val="00463CE6"/>
    <w:rsid w:val="00470A8C"/>
    <w:rsid w:val="004730E4"/>
    <w:rsid w:val="00474720"/>
    <w:rsid w:val="00480A40"/>
    <w:rsid w:val="004827C9"/>
    <w:rsid w:val="00485BA1"/>
    <w:rsid w:val="00486F5E"/>
    <w:rsid w:val="004875B9"/>
    <w:rsid w:val="00491C5F"/>
    <w:rsid w:val="0049341D"/>
    <w:rsid w:val="00493AA8"/>
    <w:rsid w:val="004948E6"/>
    <w:rsid w:val="004A2B4E"/>
    <w:rsid w:val="004A40AB"/>
    <w:rsid w:val="004A42CF"/>
    <w:rsid w:val="004A539A"/>
    <w:rsid w:val="004A73E5"/>
    <w:rsid w:val="004A74B8"/>
    <w:rsid w:val="004B3C97"/>
    <w:rsid w:val="004B4D3B"/>
    <w:rsid w:val="004B5436"/>
    <w:rsid w:val="004B5D2F"/>
    <w:rsid w:val="004B718A"/>
    <w:rsid w:val="004C2990"/>
    <w:rsid w:val="004C2D8F"/>
    <w:rsid w:val="004C3268"/>
    <w:rsid w:val="004C3B28"/>
    <w:rsid w:val="004C5E96"/>
    <w:rsid w:val="004C6ED6"/>
    <w:rsid w:val="004C7B42"/>
    <w:rsid w:val="004D0462"/>
    <w:rsid w:val="004D05AA"/>
    <w:rsid w:val="004D14C3"/>
    <w:rsid w:val="004D1881"/>
    <w:rsid w:val="004D1C41"/>
    <w:rsid w:val="004D2C8F"/>
    <w:rsid w:val="004D43AE"/>
    <w:rsid w:val="004D5EAC"/>
    <w:rsid w:val="004D6988"/>
    <w:rsid w:val="004D6EEE"/>
    <w:rsid w:val="004D73E6"/>
    <w:rsid w:val="004D7907"/>
    <w:rsid w:val="004E6CD8"/>
    <w:rsid w:val="004E6F12"/>
    <w:rsid w:val="004E746C"/>
    <w:rsid w:val="004E7533"/>
    <w:rsid w:val="004E78EE"/>
    <w:rsid w:val="004F16CA"/>
    <w:rsid w:val="004F4139"/>
    <w:rsid w:val="004F49F5"/>
    <w:rsid w:val="004F682B"/>
    <w:rsid w:val="00500F93"/>
    <w:rsid w:val="005015BF"/>
    <w:rsid w:val="00503593"/>
    <w:rsid w:val="005036B1"/>
    <w:rsid w:val="00503B3A"/>
    <w:rsid w:val="00511177"/>
    <w:rsid w:val="005125C9"/>
    <w:rsid w:val="00515BDD"/>
    <w:rsid w:val="00521B8C"/>
    <w:rsid w:val="00521B9F"/>
    <w:rsid w:val="005268F8"/>
    <w:rsid w:val="005272A6"/>
    <w:rsid w:val="00535B22"/>
    <w:rsid w:val="0053626E"/>
    <w:rsid w:val="00544936"/>
    <w:rsid w:val="005449A8"/>
    <w:rsid w:val="005512FA"/>
    <w:rsid w:val="00551758"/>
    <w:rsid w:val="0055242A"/>
    <w:rsid w:val="005525AE"/>
    <w:rsid w:val="005546C5"/>
    <w:rsid w:val="005558FC"/>
    <w:rsid w:val="00557B59"/>
    <w:rsid w:val="00560335"/>
    <w:rsid w:val="0056319F"/>
    <w:rsid w:val="00565142"/>
    <w:rsid w:val="00565289"/>
    <w:rsid w:val="00565F0D"/>
    <w:rsid w:val="00567D6A"/>
    <w:rsid w:val="00567D90"/>
    <w:rsid w:val="00574466"/>
    <w:rsid w:val="00575345"/>
    <w:rsid w:val="00575723"/>
    <w:rsid w:val="00583644"/>
    <w:rsid w:val="00585F11"/>
    <w:rsid w:val="005906F9"/>
    <w:rsid w:val="005932B4"/>
    <w:rsid w:val="00596959"/>
    <w:rsid w:val="005A0CFC"/>
    <w:rsid w:val="005A2049"/>
    <w:rsid w:val="005A3550"/>
    <w:rsid w:val="005A4DE4"/>
    <w:rsid w:val="005A6204"/>
    <w:rsid w:val="005A6D5A"/>
    <w:rsid w:val="005B03F3"/>
    <w:rsid w:val="005B3B31"/>
    <w:rsid w:val="005B41CE"/>
    <w:rsid w:val="005B566C"/>
    <w:rsid w:val="005B56D0"/>
    <w:rsid w:val="005B5DC5"/>
    <w:rsid w:val="005B6286"/>
    <w:rsid w:val="005B7759"/>
    <w:rsid w:val="005B7D94"/>
    <w:rsid w:val="005C1630"/>
    <w:rsid w:val="005C2AEB"/>
    <w:rsid w:val="005C3C37"/>
    <w:rsid w:val="005C3FDB"/>
    <w:rsid w:val="005C5B70"/>
    <w:rsid w:val="005D027B"/>
    <w:rsid w:val="005D13B2"/>
    <w:rsid w:val="005D3400"/>
    <w:rsid w:val="005D3778"/>
    <w:rsid w:val="005D388F"/>
    <w:rsid w:val="005D45F4"/>
    <w:rsid w:val="005D700C"/>
    <w:rsid w:val="005E0F22"/>
    <w:rsid w:val="005E4144"/>
    <w:rsid w:val="005E43F7"/>
    <w:rsid w:val="005E4EC9"/>
    <w:rsid w:val="005E5941"/>
    <w:rsid w:val="005E6D2A"/>
    <w:rsid w:val="005E74CB"/>
    <w:rsid w:val="005E78A2"/>
    <w:rsid w:val="005F0DD4"/>
    <w:rsid w:val="005F37D2"/>
    <w:rsid w:val="005F5728"/>
    <w:rsid w:val="005F5E14"/>
    <w:rsid w:val="006028A4"/>
    <w:rsid w:val="006073EA"/>
    <w:rsid w:val="00622773"/>
    <w:rsid w:val="006227FA"/>
    <w:rsid w:val="00622C58"/>
    <w:rsid w:val="00623DE8"/>
    <w:rsid w:val="0062614B"/>
    <w:rsid w:val="00626510"/>
    <w:rsid w:val="006266E2"/>
    <w:rsid w:val="00626739"/>
    <w:rsid w:val="0063037B"/>
    <w:rsid w:val="00631000"/>
    <w:rsid w:val="00632B58"/>
    <w:rsid w:val="00632BB3"/>
    <w:rsid w:val="00632C54"/>
    <w:rsid w:val="0063381D"/>
    <w:rsid w:val="00635616"/>
    <w:rsid w:val="00641E99"/>
    <w:rsid w:val="00642C8F"/>
    <w:rsid w:val="006463F8"/>
    <w:rsid w:val="00650C88"/>
    <w:rsid w:val="006521E5"/>
    <w:rsid w:val="00652299"/>
    <w:rsid w:val="0065258E"/>
    <w:rsid w:val="00653205"/>
    <w:rsid w:val="00655035"/>
    <w:rsid w:val="0065578F"/>
    <w:rsid w:val="00656814"/>
    <w:rsid w:val="00657A00"/>
    <w:rsid w:val="006633F4"/>
    <w:rsid w:val="0066638E"/>
    <w:rsid w:val="00666CC0"/>
    <w:rsid w:val="006675AC"/>
    <w:rsid w:val="00673C22"/>
    <w:rsid w:val="0067482D"/>
    <w:rsid w:val="0067732F"/>
    <w:rsid w:val="00681007"/>
    <w:rsid w:val="0068122B"/>
    <w:rsid w:val="00681DD9"/>
    <w:rsid w:val="00682252"/>
    <w:rsid w:val="00682F5C"/>
    <w:rsid w:val="00686975"/>
    <w:rsid w:val="00687555"/>
    <w:rsid w:val="00687E5C"/>
    <w:rsid w:val="00690E39"/>
    <w:rsid w:val="00691FF9"/>
    <w:rsid w:val="00692255"/>
    <w:rsid w:val="00692449"/>
    <w:rsid w:val="0069285F"/>
    <w:rsid w:val="00693FCE"/>
    <w:rsid w:val="00696458"/>
    <w:rsid w:val="0069736B"/>
    <w:rsid w:val="0069752C"/>
    <w:rsid w:val="006975F9"/>
    <w:rsid w:val="00697876"/>
    <w:rsid w:val="006A0333"/>
    <w:rsid w:val="006A0DE5"/>
    <w:rsid w:val="006A0F5C"/>
    <w:rsid w:val="006A3677"/>
    <w:rsid w:val="006A4EA0"/>
    <w:rsid w:val="006A5B27"/>
    <w:rsid w:val="006B136E"/>
    <w:rsid w:val="006B1653"/>
    <w:rsid w:val="006B4AC3"/>
    <w:rsid w:val="006B4E4E"/>
    <w:rsid w:val="006B5952"/>
    <w:rsid w:val="006B6C5F"/>
    <w:rsid w:val="006B74C6"/>
    <w:rsid w:val="006B75B8"/>
    <w:rsid w:val="006B7E39"/>
    <w:rsid w:val="006C0634"/>
    <w:rsid w:val="006C2072"/>
    <w:rsid w:val="006C426D"/>
    <w:rsid w:val="006C43E7"/>
    <w:rsid w:val="006C4820"/>
    <w:rsid w:val="006C5872"/>
    <w:rsid w:val="006C60E0"/>
    <w:rsid w:val="006C676D"/>
    <w:rsid w:val="006C69E2"/>
    <w:rsid w:val="006C6FE1"/>
    <w:rsid w:val="006C7825"/>
    <w:rsid w:val="006D0A44"/>
    <w:rsid w:val="006D0CE7"/>
    <w:rsid w:val="006D4329"/>
    <w:rsid w:val="006D4B73"/>
    <w:rsid w:val="006D767A"/>
    <w:rsid w:val="006E2953"/>
    <w:rsid w:val="006E2A45"/>
    <w:rsid w:val="006E37D4"/>
    <w:rsid w:val="006E6BD0"/>
    <w:rsid w:val="006F1C24"/>
    <w:rsid w:val="006F3515"/>
    <w:rsid w:val="006F3768"/>
    <w:rsid w:val="006F4804"/>
    <w:rsid w:val="006F71DE"/>
    <w:rsid w:val="00704573"/>
    <w:rsid w:val="007072CC"/>
    <w:rsid w:val="0071254A"/>
    <w:rsid w:val="007131D2"/>
    <w:rsid w:val="00713917"/>
    <w:rsid w:val="00715CB7"/>
    <w:rsid w:val="007179A3"/>
    <w:rsid w:val="00717AF8"/>
    <w:rsid w:val="00720183"/>
    <w:rsid w:val="00720F86"/>
    <w:rsid w:val="00721324"/>
    <w:rsid w:val="007224B1"/>
    <w:rsid w:val="0072260E"/>
    <w:rsid w:val="007227F0"/>
    <w:rsid w:val="00722E77"/>
    <w:rsid w:val="00724102"/>
    <w:rsid w:val="007245F1"/>
    <w:rsid w:val="007247B8"/>
    <w:rsid w:val="00725987"/>
    <w:rsid w:val="0072672F"/>
    <w:rsid w:val="00726887"/>
    <w:rsid w:val="0072731C"/>
    <w:rsid w:val="0073056C"/>
    <w:rsid w:val="00730EF8"/>
    <w:rsid w:val="007329C4"/>
    <w:rsid w:val="00732D5F"/>
    <w:rsid w:val="00735B1F"/>
    <w:rsid w:val="00737502"/>
    <w:rsid w:val="007405A2"/>
    <w:rsid w:val="00740B3A"/>
    <w:rsid w:val="00740C8B"/>
    <w:rsid w:val="00743263"/>
    <w:rsid w:val="007454B6"/>
    <w:rsid w:val="00746E36"/>
    <w:rsid w:val="0074789B"/>
    <w:rsid w:val="00747A51"/>
    <w:rsid w:val="00752C96"/>
    <w:rsid w:val="00754ABD"/>
    <w:rsid w:val="00754D3B"/>
    <w:rsid w:val="00755AEC"/>
    <w:rsid w:val="0075729D"/>
    <w:rsid w:val="00760D6A"/>
    <w:rsid w:val="007627D5"/>
    <w:rsid w:val="0076343C"/>
    <w:rsid w:val="00764C12"/>
    <w:rsid w:val="007652E3"/>
    <w:rsid w:val="007656F9"/>
    <w:rsid w:val="00765A9E"/>
    <w:rsid w:val="007669BA"/>
    <w:rsid w:val="00767D66"/>
    <w:rsid w:val="00773E6F"/>
    <w:rsid w:val="00774E19"/>
    <w:rsid w:val="007750DF"/>
    <w:rsid w:val="007751A5"/>
    <w:rsid w:val="0077707F"/>
    <w:rsid w:val="0077762F"/>
    <w:rsid w:val="00777C19"/>
    <w:rsid w:val="00780E69"/>
    <w:rsid w:val="00782487"/>
    <w:rsid w:val="00783A0F"/>
    <w:rsid w:val="00784C8D"/>
    <w:rsid w:val="00785E47"/>
    <w:rsid w:val="007873F5"/>
    <w:rsid w:val="0078760F"/>
    <w:rsid w:val="0079050B"/>
    <w:rsid w:val="0079136A"/>
    <w:rsid w:val="00792AD8"/>
    <w:rsid w:val="00792D84"/>
    <w:rsid w:val="007939B8"/>
    <w:rsid w:val="00795030"/>
    <w:rsid w:val="00795A26"/>
    <w:rsid w:val="007A00CB"/>
    <w:rsid w:val="007A036D"/>
    <w:rsid w:val="007A312F"/>
    <w:rsid w:val="007A7EAB"/>
    <w:rsid w:val="007B0A58"/>
    <w:rsid w:val="007B0B99"/>
    <w:rsid w:val="007B5068"/>
    <w:rsid w:val="007B5238"/>
    <w:rsid w:val="007C0AED"/>
    <w:rsid w:val="007C0BEE"/>
    <w:rsid w:val="007C42F3"/>
    <w:rsid w:val="007C4FA7"/>
    <w:rsid w:val="007C5531"/>
    <w:rsid w:val="007C63A0"/>
    <w:rsid w:val="007C6D52"/>
    <w:rsid w:val="007C6F91"/>
    <w:rsid w:val="007C72C0"/>
    <w:rsid w:val="007D034D"/>
    <w:rsid w:val="007D12ED"/>
    <w:rsid w:val="007D16E8"/>
    <w:rsid w:val="007D2F9C"/>
    <w:rsid w:val="007D3821"/>
    <w:rsid w:val="007D53A5"/>
    <w:rsid w:val="007E1757"/>
    <w:rsid w:val="007E18CC"/>
    <w:rsid w:val="007E1D0E"/>
    <w:rsid w:val="007E1E34"/>
    <w:rsid w:val="007E452A"/>
    <w:rsid w:val="007F1998"/>
    <w:rsid w:val="007F2034"/>
    <w:rsid w:val="007F2D7B"/>
    <w:rsid w:val="007F4536"/>
    <w:rsid w:val="007F4683"/>
    <w:rsid w:val="007F55A4"/>
    <w:rsid w:val="007F7C5E"/>
    <w:rsid w:val="00800BF1"/>
    <w:rsid w:val="0080587F"/>
    <w:rsid w:val="00805EA3"/>
    <w:rsid w:val="00806B14"/>
    <w:rsid w:val="008114D4"/>
    <w:rsid w:val="0081234D"/>
    <w:rsid w:val="00812D2D"/>
    <w:rsid w:val="00813416"/>
    <w:rsid w:val="00814990"/>
    <w:rsid w:val="00817200"/>
    <w:rsid w:val="00817616"/>
    <w:rsid w:val="00817A64"/>
    <w:rsid w:val="008202F7"/>
    <w:rsid w:val="008229D2"/>
    <w:rsid w:val="008247A4"/>
    <w:rsid w:val="00825D47"/>
    <w:rsid w:val="008272A6"/>
    <w:rsid w:val="0083248A"/>
    <w:rsid w:val="0083258C"/>
    <w:rsid w:val="00832DD8"/>
    <w:rsid w:val="00833D41"/>
    <w:rsid w:val="00833D6C"/>
    <w:rsid w:val="00834589"/>
    <w:rsid w:val="0083704A"/>
    <w:rsid w:val="00837D49"/>
    <w:rsid w:val="00841328"/>
    <w:rsid w:val="00841CCC"/>
    <w:rsid w:val="00844377"/>
    <w:rsid w:val="008443EF"/>
    <w:rsid w:val="00846441"/>
    <w:rsid w:val="00846F90"/>
    <w:rsid w:val="00850A46"/>
    <w:rsid w:val="00852A55"/>
    <w:rsid w:val="00852FB9"/>
    <w:rsid w:val="008536B7"/>
    <w:rsid w:val="00855BFF"/>
    <w:rsid w:val="00856AC7"/>
    <w:rsid w:val="00860A6E"/>
    <w:rsid w:val="00860F34"/>
    <w:rsid w:val="00862AC4"/>
    <w:rsid w:val="0086319B"/>
    <w:rsid w:val="008674A6"/>
    <w:rsid w:val="0087210F"/>
    <w:rsid w:val="0087564D"/>
    <w:rsid w:val="00876000"/>
    <w:rsid w:val="00876045"/>
    <w:rsid w:val="00877250"/>
    <w:rsid w:val="0087763E"/>
    <w:rsid w:val="00890D81"/>
    <w:rsid w:val="0089108B"/>
    <w:rsid w:val="008917CA"/>
    <w:rsid w:val="0089180F"/>
    <w:rsid w:val="00892231"/>
    <w:rsid w:val="00892EE6"/>
    <w:rsid w:val="008931B4"/>
    <w:rsid w:val="008973A2"/>
    <w:rsid w:val="008A0E76"/>
    <w:rsid w:val="008A186C"/>
    <w:rsid w:val="008A42FE"/>
    <w:rsid w:val="008A4B45"/>
    <w:rsid w:val="008A4F23"/>
    <w:rsid w:val="008A64D6"/>
    <w:rsid w:val="008A713B"/>
    <w:rsid w:val="008A72BD"/>
    <w:rsid w:val="008A785D"/>
    <w:rsid w:val="008B202C"/>
    <w:rsid w:val="008B4FBE"/>
    <w:rsid w:val="008B6039"/>
    <w:rsid w:val="008C1DBB"/>
    <w:rsid w:val="008C2555"/>
    <w:rsid w:val="008C29FB"/>
    <w:rsid w:val="008C5B87"/>
    <w:rsid w:val="008D0448"/>
    <w:rsid w:val="008D0677"/>
    <w:rsid w:val="008D0C9E"/>
    <w:rsid w:val="008D2F03"/>
    <w:rsid w:val="008D3988"/>
    <w:rsid w:val="008D5500"/>
    <w:rsid w:val="008D6762"/>
    <w:rsid w:val="008E18CB"/>
    <w:rsid w:val="008E28E0"/>
    <w:rsid w:val="008E30D8"/>
    <w:rsid w:val="008E447C"/>
    <w:rsid w:val="008E596E"/>
    <w:rsid w:val="008E6741"/>
    <w:rsid w:val="008F0451"/>
    <w:rsid w:val="008F04C5"/>
    <w:rsid w:val="008F07C6"/>
    <w:rsid w:val="008F125D"/>
    <w:rsid w:val="008F3194"/>
    <w:rsid w:val="008F6225"/>
    <w:rsid w:val="008F78BD"/>
    <w:rsid w:val="009011F8"/>
    <w:rsid w:val="00901E9C"/>
    <w:rsid w:val="00906537"/>
    <w:rsid w:val="00906F79"/>
    <w:rsid w:val="00907121"/>
    <w:rsid w:val="00907369"/>
    <w:rsid w:val="00910B12"/>
    <w:rsid w:val="00911954"/>
    <w:rsid w:val="00912269"/>
    <w:rsid w:val="00912404"/>
    <w:rsid w:val="00917386"/>
    <w:rsid w:val="00920B9A"/>
    <w:rsid w:val="009249C5"/>
    <w:rsid w:val="00925558"/>
    <w:rsid w:val="00925B25"/>
    <w:rsid w:val="009263C9"/>
    <w:rsid w:val="00927104"/>
    <w:rsid w:val="00930B2A"/>
    <w:rsid w:val="00936F03"/>
    <w:rsid w:val="0094018B"/>
    <w:rsid w:val="009418E3"/>
    <w:rsid w:val="009435BB"/>
    <w:rsid w:val="00943B02"/>
    <w:rsid w:val="00944975"/>
    <w:rsid w:val="00944D65"/>
    <w:rsid w:val="009455EC"/>
    <w:rsid w:val="009461DA"/>
    <w:rsid w:val="009501B0"/>
    <w:rsid w:val="00953429"/>
    <w:rsid w:val="009539A4"/>
    <w:rsid w:val="00955590"/>
    <w:rsid w:val="009569E3"/>
    <w:rsid w:val="00960035"/>
    <w:rsid w:val="0096040F"/>
    <w:rsid w:val="0096102C"/>
    <w:rsid w:val="0096145A"/>
    <w:rsid w:val="00962CFF"/>
    <w:rsid w:val="009632EF"/>
    <w:rsid w:val="009669E2"/>
    <w:rsid w:val="00967308"/>
    <w:rsid w:val="00973D8A"/>
    <w:rsid w:val="00975523"/>
    <w:rsid w:val="009776EF"/>
    <w:rsid w:val="009804B4"/>
    <w:rsid w:val="00980709"/>
    <w:rsid w:val="00980D67"/>
    <w:rsid w:val="0098278C"/>
    <w:rsid w:val="009843DD"/>
    <w:rsid w:val="009910B5"/>
    <w:rsid w:val="0099165B"/>
    <w:rsid w:val="00991819"/>
    <w:rsid w:val="00992BBB"/>
    <w:rsid w:val="00994499"/>
    <w:rsid w:val="00996B34"/>
    <w:rsid w:val="009A0FC8"/>
    <w:rsid w:val="009A2372"/>
    <w:rsid w:val="009A42F1"/>
    <w:rsid w:val="009A5571"/>
    <w:rsid w:val="009A7878"/>
    <w:rsid w:val="009B0892"/>
    <w:rsid w:val="009B0CDC"/>
    <w:rsid w:val="009B1729"/>
    <w:rsid w:val="009B2634"/>
    <w:rsid w:val="009B3B7A"/>
    <w:rsid w:val="009B793A"/>
    <w:rsid w:val="009C01EF"/>
    <w:rsid w:val="009C050D"/>
    <w:rsid w:val="009C06D3"/>
    <w:rsid w:val="009C1312"/>
    <w:rsid w:val="009C1F2B"/>
    <w:rsid w:val="009C4DD3"/>
    <w:rsid w:val="009C6DFD"/>
    <w:rsid w:val="009C7060"/>
    <w:rsid w:val="009D399A"/>
    <w:rsid w:val="009D4A50"/>
    <w:rsid w:val="009D5FD0"/>
    <w:rsid w:val="009D66BC"/>
    <w:rsid w:val="009E53AF"/>
    <w:rsid w:val="009E53EB"/>
    <w:rsid w:val="009E64C7"/>
    <w:rsid w:val="009E6D4B"/>
    <w:rsid w:val="009E6DF5"/>
    <w:rsid w:val="009E6F5C"/>
    <w:rsid w:val="009F02C5"/>
    <w:rsid w:val="009F076C"/>
    <w:rsid w:val="009F2AB0"/>
    <w:rsid w:val="009F2F92"/>
    <w:rsid w:val="009F34CC"/>
    <w:rsid w:val="009F3C4D"/>
    <w:rsid w:val="009F4340"/>
    <w:rsid w:val="009F479E"/>
    <w:rsid w:val="009F66D9"/>
    <w:rsid w:val="009F7364"/>
    <w:rsid w:val="00A01284"/>
    <w:rsid w:val="00A035A3"/>
    <w:rsid w:val="00A0439B"/>
    <w:rsid w:val="00A1128F"/>
    <w:rsid w:val="00A12A33"/>
    <w:rsid w:val="00A12AB0"/>
    <w:rsid w:val="00A16440"/>
    <w:rsid w:val="00A169AC"/>
    <w:rsid w:val="00A2231D"/>
    <w:rsid w:val="00A2334F"/>
    <w:rsid w:val="00A250AA"/>
    <w:rsid w:val="00A27264"/>
    <w:rsid w:val="00A277E6"/>
    <w:rsid w:val="00A30A8F"/>
    <w:rsid w:val="00A311A7"/>
    <w:rsid w:val="00A3174A"/>
    <w:rsid w:val="00A34CC0"/>
    <w:rsid w:val="00A35A28"/>
    <w:rsid w:val="00A368EF"/>
    <w:rsid w:val="00A40E88"/>
    <w:rsid w:val="00A41505"/>
    <w:rsid w:val="00A43792"/>
    <w:rsid w:val="00A43B45"/>
    <w:rsid w:val="00A4414C"/>
    <w:rsid w:val="00A47EF1"/>
    <w:rsid w:val="00A51D29"/>
    <w:rsid w:val="00A544D7"/>
    <w:rsid w:val="00A54D46"/>
    <w:rsid w:val="00A56795"/>
    <w:rsid w:val="00A56998"/>
    <w:rsid w:val="00A56D51"/>
    <w:rsid w:val="00A60D18"/>
    <w:rsid w:val="00A61207"/>
    <w:rsid w:val="00A61700"/>
    <w:rsid w:val="00A6285C"/>
    <w:rsid w:val="00A634C9"/>
    <w:rsid w:val="00A663F3"/>
    <w:rsid w:val="00A669F1"/>
    <w:rsid w:val="00A67489"/>
    <w:rsid w:val="00A67A15"/>
    <w:rsid w:val="00A7212F"/>
    <w:rsid w:val="00A7268C"/>
    <w:rsid w:val="00A74365"/>
    <w:rsid w:val="00A745BF"/>
    <w:rsid w:val="00A74A79"/>
    <w:rsid w:val="00A74E46"/>
    <w:rsid w:val="00A81524"/>
    <w:rsid w:val="00A81D60"/>
    <w:rsid w:val="00A8413E"/>
    <w:rsid w:val="00A86514"/>
    <w:rsid w:val="00A87268"/>
    <w:rsid w:val="00A90163"/>
    <w:rsid w:val="00A90B12"/>
    <w:rsid w:val="00AA1AC0"/>
    <w:rsid w:val="00AA3B66"/>
    <w:rsid w:val="00AA5803"/>
    <w:rsid w:val="00AA584F"/>
    <w:rsid w:val="00AB2843"/>
    <w:rsid w:val="00AB2A76"/>
    <w:rsid w:val="00AB3118"/>
    <w:rsid w:val="00AB6F32"/>
    <w:rsid w:val="00AC46C7"/>
    <w:rsid w:val="00AC5544"/>
    <w:rsid w:val="00AC5B71"/>
    <w:rsid w:val="00AC5F18"/>
    <w:rsid w:val="00AC6ED5"/>
    <w:rsid w:val="00AC77B2"/>
    <w:rsid w:val="00AD1CAB"/>
    <w:rsid w:val="00AD37B7"/>
    <w:rsid w:val="00AD4084"/>
    <w:rsid w:val="00AD45E6"/>
    <w:rsid w:val="00AE00AE"/>
    <w:rsid w:val="00AE190D"/>
    <w:rsid w:val="00AE56E1"/>
    <w:rsid w:val="00AE6C9A"/>
    <w:rsid w:val="00AF2207"/>
    <w:rsid w:val="00AF2612"/>
    <w:rsid w:val="00AF2A61"/>
    <w:rsid w:val="00AF30D9"/>
    <w:rsid w:val="00AF63BF"/>
    <w:rsid w:val="00AF6B3B"/>
    <w:rsid w:val="00AF79DD"/>
    <w:rsid w:val="00AF7F2C"/>
    <w:rsid w:val="00AF7F46"/>
    <w:rsid w:val="00B00AFB"/>
    <w:rsid w:val="00B0178C"/>
    <w:rsid w:val="00B019F0"/>
    <w:rsid w:val="00B02885"/>
    <w:rsid w:val="00B03909"/>
    <w:rsid w:val="00B04EC7"/>
    <w:rsid w:val="00B0512C"/>
    <w:rsid w:val="00B06440"/>
    <w:rsid w:val="00B1231F"/>
    <w:rsid w:val="00B17927"/>
    <w:rsid w:val="00B17E96"/>
    <w:rsid w:val="00B2113E"/>
    <w:rsid w:val="00B2123B"/>
    <w:rsid w:val="00B21399"/>
    <w:rsid w:val="00B21A08"/>
    <w:rsid w:val="00B2410E"/>
    <w:rsid w:val="00B25DE3"/>
    <w:rsid w:val="00B26E08"/>
    <w:rsid w:val="00B2727D"/>
    <w:rsid w:val="00B301A2"/>
    <w:rsid w:val="00B31350"/>
    <w:rsid w:val="00B315A8"/>
    <w:rsid w:val="00B32C3E"/>
    <w:rsid w:val="00B335D1"/>
    <w:rsid w:val="00B36854"/>
    <w:rsid w:val="00B40A92"/>
    <w:rsid w:val="00B41D37"/>
    <w:rsid w:val="00B43596"/>
    <w:rsid w:val="00B45128"/>
    <w:rsid w:val="00B52BE3"/>
    <w:rsid w:val="00B53DB3"/>
    <w:rsid w:val="00B549D4"/>
    <w:rsid w:val="00B63E1D"/>
    <w:rsid w:val="00B66957"/>
    <w:rsid w:val="00B66AF2"/>
    <w:rsid w:val="00B71805"/>
    <w:rsid w:val="00B71AF1"/>
    <w:rsid w:val="00B72848"/>
    <w:rsid w:val="00B74544"/>
    <w:rsid w:val="00B76125"/>
    <w:rsid w:val="00B77754"/>
    <w:rsid w:val="00B77A90"/>
    <w:rsid w:val="00B807D0"/>
    <w:rsid w:val="00B81025"/>
    <w:rsid w:val="00B81054"/>
    <w:rsid w:val="00B820DB"/>
    <w:rsid w:val="00B82A43"/>
    <w:rsid w:val="00B837F0"/>
    <w:rsid w:val="00B83896"/>
    <w:rsid w:val="00B860A9"/>
    <w:rsid w:val="00B97264"/>
    <w:rsid w:val="00BA0143"/>
    <w:rsid w:val="00BA0950"/>
    <w:rsid w:val="00BA1E61"/>
    <w:rsid w:val="00BA227A"/>
    <w:rsid w:val="00BA2E07"/>
    <w:rsid w:val="00BA4C69"/>
    <w:rsid w:val="00BA61AF"/>
    <w:rsid w:val="00BA71DA"/>
    <w:rsid w:val="00BB1630"/>
    <w:rsid w:val="00BB6860"/>
    <w:rsid w:val="00BC3256"/>
    <w:rsid w:val="00BC3592"/>
    <w:rsid w:val="00BC36DF"/>
    <w:rsid w:val="00BC4B41"/>
    <w:rsid w:val="00BC52E9"/>
    <w:rsid w:val="00BC66ED"/>
    <w:rsid w:val="00BD11D3"/>
    <w:rsid w:val="00BD2B47"/>
    <w:rsid w:val="00BD2CAA"/>
    <w:rsid w:val="00BD3B2B"/>
    <w:rsid w:val="00BD3B65"/>
    <w:rsid w:val="00BE1C5C"/>
    <w:rsid w:val="00BE1FE1"/>
    <w:rsid w:val="00BE3E67"/>
    <w:rsid w:val="00BE50E6"/>
    <w:rsid w:val="00BE61B2"/>
    <w:rsid w:val="00BE7CC3"/>
    <w:rsid w:val="00BF2B0D"/>
    <w:rsid w:val="00BF4E3B"/>
    <w:rsid w:val="00BF5454"/>
    <w:rsid w:val="00BF7EC9"/>
    <w:rsid w:val="00C00D8A"/>
    <w:rsid w:val="00C01C49"/>
    <w:rsid w:val="00C02644"/>
    <w:rsid w:val="00C036CE"/>
    <w:rsid w:val="00C0624F"/>
    <w:rsid w:val="00C066E6"/>
    <w:rsid w:val="00C07FAA"/>
    <w:rsid w:val="00C110C0"/>
    <w:rsid w:val="00C12370"/>
    <w:rsid w:val="00C12836"/>
    <w:rsid w:val="00C15000"/>
    <w:rsid w:val="00C15897"/>
    <w:rsid w:val="00C1616B"/>
    <w:rsid w:val="00C16B21"/>
    <w:rsid w:val="00C16DFC"/>
    <w:rsid w:val="00C17244"/>
    <w:rsid w:val="00C17E4D"/>
    <w:rsid w:val="00C2079E"/>
    <w:rsid w:val="00C221CD"/>
    <w:rsid w:val="00C25585"/>
    <w:rsid w:val="00C27729"/>
    <w:rsid w:val="00C30A5A"/>
    <w:rsid w:val="00C312FA"/>
    <w:rsid w:val="00C332C4"/>
    <w:rsid w:val="00C334F5"/>
    <w:rsid w:val="00C33C7F"/>
    <w:rsid w:val="00C35A03"/>
    <w:rsid w:val="00C36A05"/>
    <w:rsid w:val="00C40BA5"/>
    <w:rsid w:val="00C432D9"/>
    <w:rsid w:val="00C43727"/>
    <w:rsid w:val="00C44166"/>
    <w:rsid w:val="00C4553D"/>
    <w:rsid w:val="00C45B37"/>
    <w:rsid w:val="00C45B5B"/>
    <w:rsid w:val="00C46F26"/>
    <w:rsid w:val="00C51687"/>
    <w:rsid w:val="00C5289C"/>
    <w:rsid w:val="00C53A0F"/>
    <w:rsid w:val="00C5441B"/>
    <w:rsid w:val="00C56008"/>
    <w:rsid w:val="00C56471"/>
    <w:rsid w:val="00C56CBC"/>
    <w:rsid w:val="00C617B0"/>
    <w:rsid w:val="00C62D2B"/>
    <w:rsid w:val="00C6344F"/>
    <w:rsid w:val="00C659E2"/>
    <w:rsid w:val="00C669AD"/>
    <w:rsid w:val="00C72510"/>
    <w:rsid w:val="00C731CA"/>
    <w:rsid w:val="00C7523D"/>
    <w:rsid w:val="00C77A6B"/>
    <w:rsid w:val="00C816E6"/>
    <w:rsid w:val="00C82587"/>
    <w:rsid w:val="00C84097"/>
    <w:rsid w:val="00C860AA"/>
    <w:rsid w:val="00C8716F"/>
    <w:rsid w:val="00C872D8"/>
    <w:rsid w:val="00C87FA4"/>
    <w:rsid w:val="00C900DC"/>
    <w:rsid w:val="00C9181A"/>
    <w:rsid w:val="00C9487D"/>
    <w:rsid w:val="00C955CB"/>
    <w:rsid w:val="00C95664"/>
    <w:rsid w:val="00C9578E"/>
    <w:rsid w:val="00C96E53"/>
    <w:rsid w:val="00CA1597"/>
    <w:rsid w:val="00CA25CC"/>
    <w:rsid w:val="00CA2BA2"/>
    <w:rsid w:val="00CA3ACE"/>
    <w:rsid w:val="00CA5FFF"/>
    <w:rsid w:val="00CA7B80"/>
    <w:rsid w:val="00CA7F86"/>
    <w:rsid w:val="00CB0093"/>
    <w:rsid w:val="00CB01A3"/>
    <w:rsid w:val="00CB03EC"/>
    <w:rsid w:val="00CB32EF"/>
    <w:rsid w:val="00CC1BDF"/>
    <w:rsid w:val="00CC21EC"/>
    <w:rsid w:val="00CC482B"/>
    <w:rsid w:val="00CC4FDB"/>
    <w:rsid w:val="00CC6D2E"/>
    <w:rsid w:val="00CD0C53"/>
    <w:rsid w:val="00CD105E"/>
    <w:rsid w:val="00CD4259"/>
    <w:rsid w:val="00CD4587"/>
    <w:rsid w:val="00CD4AE6"/>
    <w:rsid w:val="00CD5211"/>
    <w:rsid w:val="00CD537E"/>
    <w:rsid w:val="00CD57F9"/>
    <w:rsid w:val="00CD5CD1"/>
    <w:rsid w:val="00CE0BB8"/>
    <w:rsid w:val="00CE4C23"/>
    <w:rsid w:val="00CE54E0"/>
    <w:rsid w:val="00CE5835"/>
    <w:rsid w:val="00CE5EC6"/>
    <w:rsid w:val="00CE6FA1"/>
    <w:rsid w:val="00CF1938"/>
    <w:rsid w:val="00CF24CD"/>
    <w:rsid w:val="00CF261C"/>
    <w:rsid w:val="00CF4496"/>
    <w:rsid w:val="00D00A1A"/>
    <w:rsid w:val="00D01F0A"/>
    <w:rsid w:val="00D03D6C"/>
    <w:rsid w:val="00D05614"/>
    <w:rsid w:val="00D065A5"/>
    <w:rsid w:val="00D07E15"/>
    <w:rsid w:val="00D1170A"/>
    <w:rsid w:val="00D13012"/>
    <w:rsid w:val="00D13559"/>
    <w:rsid w:val="00D14159"/>
    <w:rsid w:val="00D14990"/>
    <w:rsid w:val="00D22AC1"/>
    <w:rsid w:val="00D24268"/>
    <w:rsid w:val="00D2445E"/>
    <w:rsid w:val="00D255AD"/>
    <w:rsid w:val="00D25BE6"/>
    <w:rsid w:val="00D30EF1"/>
    <w:rsid w:val="00D318DC"/>
    <w:rsid w:val="00D321DB"/>
    <w:rsid w:val="00D32460"/>
    <w:rsid w:val="00D32EBF"/>
    <w:rsid w:val="00D343B3"/>
    <w:rsid w:val="00D35073"/>
    <w:rsid w:val="00D35986"/>
    <w:rsid w:val="00D36085"/>
    <w:rsid w:val="00D421D9"/>
    <w:rsid w:val="00D42954"/>
    <w:rsid w:val="00D47529"/>
    <w:rsid w:val="00D47713"/>
    <w:rsid w:val="00D50FBF"/>
    <w:rsid w:val="00D510C1"/>
    <w:rsid w:val="00D51103"/>
    <w:rsid w:val="00D52FF3"/>
    <w:rsid w:val="00D530E6"/>
    <w:rsid w:val="00D53B1C"/>
    <w:rsid w:val="00D53D4C"/>
    <w:rsid w:val="00D551A7"/>
    <w:rsid w:val="00D55A7A"/>
    <w:rsid w:val="00D568D5"/>
    <w:rsid w:val="00D56A35"/>
    <w:rsid w:val="00D56B6F"/>
    <w:rsid w:val="00D57878"/>
    <w:rsid w:val="00D60AB7"/>
    <w:rsid w:val="00D6226F"/>
    <w:rsid w:val="00D62CF0"/>
    <w:rsid w:val="00D70E15"/>
    <w:rsid w:val="00D714E5"/>
    <w:rsid w:val="00D746CD"/>
    <w:rsid w:val="00D7546D"/>
    <w:rsid w:val="00D75C54"/>
    <w:rsid w:val="00D76327"/>
    <w:rsid w:val="00D80D78"/>
    <w:rsid w:val="00D813B8"/>
    <w:rsid w:val="00D839C5"/>
    <w:rsid w:val="00D83AA9"/>
    <w:rsid w:val="00D84043"/>
    <w:rsid w:val="00D84373"/>
    <w:rsid w:val="00D84942"/>
    <w:rsid w:val="00D84FE9"/>
    <w:rsid w:val="00D91348"/>
    <w:rsid w:val="00D92AE5"/>
    <w:rsid w:val="00D9566D"/>
    <w:rsid w:val="00DA0EF7"/>
    <w:rsid w:val="00DA3DAC"/>
    <w:rsid w:val="00DA4951"/>
    <w:rsid w:val="00DA4B3F"/>
    <w:rsid w:val="00DA4EB6"/>
    <w:rsid w:val="00DA5F0C"/>
    <w:rsid w:val="00DB20EB"/>
    <w:rsid w:val="00DB33F6"/>
    <w:rsid w:val="00DB38CC"/>
    <w:rsid w:val="00DB38EA"/>
    <w:rsid w:val="00DC08B6"/>
    <w:rsid w:val="00DC277F"/>
    <w:rsid w:val="00DD0950"/>
    <w:rsid w:val="00DD0BFE"/>
    <w:rsid w:val="00DD29B1"/>
    <w:rsid w:val="00DD4AF9"/>
    <w:rsid w:val="00DD5DF4"/>
    <w:rsid w:val="00DD5EE9"/>
    <w:rsid w:val="00DD7497"/>
    <w:rsid w:val="00DD782F"/>
    <w:rsid w:val="00DE0414"/>
    <w:rsid w:val="00DE0656"/>
    <w:rsid w:val="00DE0982"/>
    <w:rsid w:val="00DE1D11"/>
    <w:rsid w:val="00DE28ED"/>
    <w:rsid w:val="00DE2DCF"/>
    <w:rsid w:val="00DE310D"/>
    <w:rsid w:val="00DE311E"/>
    <w:rsid w:val="00DE419E"/>
    <w:rsid w:val="00DE44C3"/>
    <w:rsid w:val="00DE4A43"/>
    <w:rsid w:val="00DE4D5E"/>
    <w:rsid w:val="00DE7391"/>
    <w:rsid w:val="00DF0A3F"/>
    <w:rsid w:val="00DF0DFC"/>
    <w:rsid w:val="00DF139C"/>
    <w:rsid w:val="00DF2EAA"/>
    <w:rsid w:val="00DF55F1"/>
    <w:rsid w:val="00DF58BA"/>
    <w:rsid w:val="00DF7D53"/>
    <w:rsid w:val="00E00424"/>
    <w:rsid w:val="00E01409"/>
    <w:rsid w:val="00E12F22"/>
    <w:rsid w:val="00E15945"/>
    <w:rsid w:val="00E165FC"/>
    <w:rsid w:val="00E168D7"/>
    <w:rsid w:val="00E16C11"/>
    <w:rsid w:val="00E200C9"/>
    <w:rsid w:val="00E2110B"/>
    <w:rsid w:val="00E233BB"/>
    <w:rsid w:val="00E23A47"/>
    <w:rsid w:val="00E23E0E"/>
    <w:rsid w:val="00E2482B"/>
    <w:rsid w:val="00E2557E"/>
    <w:rsid w:val="00E2592B"/>
    <w:rsid w:val="00E25D98"/>
    <w:rsid w:val="00E264F8"/>
    <w:rsid w:val="00E30C52"/>
    <w:rsid w:val="00E32099"/>
    <w:rsid w:val="00E32DC2"/>
    <w:rsid w:val="00E33666"/>
    <w:rsid w:val="00E340F6"/>
    <w:rsid w:val="00E3771A"/>
    <w:rsid w:val="00E40B45"/>
    <w:rsid w:val="00E41637"/>
    <w:rsid w:val="00E42AE0"/>
    <w:rsid w:val="00E431EB"/>
    <w:rsid w:val="00E4372C"/>
    <w:rsid w:val="00E44A14"/>
    <w:rsid w:val="00E46DBA"/>
    <w:rsid w:val="00E46E38"/>
    <w:rsid w:val="00E47409"/>
    <w:rsid w:val="00E50C30"/>
    <w:rsid w:val="00E51410"/>
    <w:rsid w:val="00E515E7"/>
    <w:rsid w:val="00E54A31"/>
    <w:rsid w:val="00E5580D"/>
    <w:rsid w:val="00E56402"/>
    <w:rsid w:val="00E56CB5"/>
    <w:rsid w:val="00E56CBE"/>
    <w:rsid w:val="00E61828"/>
    <w:rsid w:val="00E65B1F"/>
    <w:rsid w:val="00E65E56"/>
    <w:rsid w:val="00E664D0"/>
    <w:rsid w:val="00E66F94"/>
    <w:rsid w:val="00E670E5"/>
    <w:rsid w:val="00E6767D"/>
    <w:rsid w:val="00E717C1"/>
    <w:rsid w:val="00E71E63"/>
    <w:rsid w:val="00E74980"/>
    <w:rsid w:val="00E75DA4"/>
    <w:rsid w:val="00E76D4C"/>
    <w:rsid w:val="00E81786"/>
    <w:rsid w:val="00E81A37"/>
    <w:rsid w:val="00E82329"/>
    <w:rsid w:val="00E8429B"/>
    <w:rsid w:val="00E84772"/>
    <w:rsid w:val="00E84EE3"/>
    <w:rsid w:val="00E85DE5"/>
    <w:rsid w:val="00E90E1D"/>
    <w:rsid w:val="00E90EC0"/>
    <w:rsid w:val="00E93810"/>
    <w:rsid w:val="00E944C1"/>
    <w:rsid w:val="00E948A1"/>
    <w:rsid w:val="00E96A1C"/>
    <w:rsid w:val="00E97D8B"/>
    <w:rsid w:val="00EA13A2"/>
    <w:rsid w:val="00EA5878"/>
    <w:rsid w:val="00EA5C35"/>
    <w:rsid w:val="00EA7BAB"/>
    <w:rsid w:val="00EA7F55"/>
    <w:rsid w:val="00EB1CE6"/>
    <w:rsid w:val="00EB1F19"/>
    <w:rsid w:val="00EB4227"/>
    <w:rsid w:val="00EB7375"/>
    <w:rsid w:val="00EC06EA"/>
    <w:rsid w:val="00EC2660"/>
    <w:rsid w:val="00EC3057"/>
    <w:rsid w:val="00EC47C5"/>
    <w:rsid w:val="00EC5A3A"/>
    <w:rsid w:val="00EC6900"/>
    <w:rsid w:val="00EC7FC0"/>
    <w:rsid w:val="00ED087B"/>
    <w:rsid w:val="00ED1E16"/>
    <w:rsid w:val="00ED5626"/>
    <w:rsid w:val="00ED5EB9"/>
    <w:rsid w:val="00ED6BFE"/>
    <w:rsid w:val="00ED7FE5"/>
    <w:rsid w:val="00EE0176"/>
    <w:rsid w:val="00EE17BD"/>
    <w:rsid w:val="00EE27D8"/>
    <w:rsid w:val="00EE32BD"/>
    <w:rsid w:val="00EE5542"/>
    <w:rsid w:val="00EE638D"/>
    <w:rsid w:val="00EE6872"/>
    <w:rsid w:val="00EF0191"/>
    <w:rsid w:val="00EF09CC"/>
    <w:rsid w:val="00EF0F91"/>
    <w:rsid w:val="00EF25C7"/>
    <w:rsid w:val="00EF35F3"/>
    <w:rsid w:val="00EF6319"/>
    <w:rsid w:val="00EF663A"/>
    <w:rsid w:val="00F00A14"/>
    <w:rsid w:val="00F02721"/>
    <w:rsid w:val="00F03966"/>
    <w:rsid w:val="00F051C1"/>
    <w:rsid w:val="00F0685D"/>
    <w:rsid w:val="00F06A5D"/>
    <w:rsid w:val="00F0700E"/>
    <w:rsid w:val="00F07302"/>
    <w:rsid w:val="00F110CE"/>
    <w:rsid w:val="00F11CD5"/>
    <w:rsid w:val="00F14A61"/>
    <w:rsid w:val="00F17B58"/>
    <w:rsid w:val="00F220F4"/>
    <w:rsid w:val="00F24B23"/>
    <w:rsid w:val="00F25A3F"/>
    <w:rsid w:val="00F265EC"/>
    <w:rsid w:val="00F27353"/>
    <w:rsid w:val="00F31B7D"/>
    <w:rsid w:val="00F32388"/>
    <w:rsid w:val="00F32A17"/>
    <w:rsid w:val="00F349CE"/>
    <w:rsid w:val="00F34BAA"/>
    <w:rsid w:val="00F35345"/>
    <w:rsid w:val="00F355CA"/>
    <w:rsid w:val="00F355FB"/>
    <w:rsid w:val="00F40C6B"/>
    <w:rsid w:val="00F41113"/>
    <w:rsid w:val="00F44385"/>
    <w:rsid w:val="00F44A10"/>
    <w:rsid w:val="00F44F53"/>
    <w:rsid w:val="00F453FE"/>
    <w:rsid w:val="00F45C61"/>
    <w:rsid w:val="00F46219"/>
    <w:rsid w:val="00F51138"/>
    <w:rsid w:val="00F5306F"/>
    <w:rsid w:val="00F532A6"/>
    <w:rsid w:val="00F53BC9"/>
    <w:rsid w:val="00F546D9"/>
    <w:rsid w:val="00F55DDD"/>
    <w:rsid w:val="00F569D6"/>
    <w:rsid w:val="00F57FCC"/>
    <w:rsid w:val="00F60FF1"/>
    <w:rsid w:val="00F61907"/>
    <w:rsid w:val="00F61AB2"/>
    <w:rsid w:val="00F622D4"/>
    <w:rsid w:val="00F65464"/>
    <w:rsid w:val="00F66983"/>
    <w:rsid w:val="00F70E1C"/>
    <w:rsid w:val="00F72FCE"/>
    <w:rsid w:val="00F734F9"/>
    <w:rsid w:val="00F73F90"/>
    <w:rsid w:val="00F74D13"/>
    <w:rsid w:val="00F754D9"/>
    <w:rsid w:val="00F80FBD"/>
    <w:rsid w:val="00F83AB8"/>
    <w:rsid w:val="00F849FF"/>
    <w:rsid w:val="00F86F58"/>
    <w:rsid w:val="00F87AAA"/>
    <w:rsid w:val="00F9062D"/>
    <w:rsid w:val="00F936BB"/>
    <w:rsid w:val="00F93BAD"/>
    <w:rsid w:val="00F94051"/>
    <w:rsid w:val="00F941DD"/>
    <w:rsid w:val="00F95311"/>
    <w:rsid w:val="00F95F8F"/>
    <w:rsid w:val="00FA0A18"/>
    <w:rsid w:val="00FA1BBD"/>
    <w:rsid w:val="00FA42A9"/>
    <w:rsid w:val="00FA5492"/>
    <w:rsid w:val="00FA70EC"/>
    <w:rsid w:val="00FC1265"/>
    <w:rsid w:val="00FC1339"/>
    <w:rsid w:val="00FC1707"/>
    <w:rsid w:val="00FC1C82"/>
    <w:rsid w:val="00FC1D2F"/>
    <w:rsid w:val="00FC3CE4"/>
    <w:rsid w:val="00FC45AC"/>
    <w:rsid w:val="00FC4CFF"/>
    <w:rsid w:val="00FC51D4"/>
    <w:rsid w:val="00FC5DE9"/>
    <w:rsid w:val="00FC7CA7"/>
    <w:rsid w:val="00FD0415"/>
    <w:rsid w:val="00FD44E2"/>
    <w:rsid w:val="00FD48FA"/>
    <w:rsid w:val="00FD656B"/>
    <w:rsid w:val="00FD73C3"/>
    <w:rsid w:val="00FE2A62"/>
    <w:rsid w:val="00FE2F2B"/>
    <w:rsid w:val="00FE2FD3"/>
    <w:rsid w:val="00FE5699"/>
    <w:rsid w:val="00FE57BD"/>
    <w:rsid w:val="00FE6DE0"/>
    <w:rsid w:val="00FE7C9C"/>
    <w:rsid w:val="00FF06B2"/>
    <w:rsid w:val="00FF1558"/>
    <w:rsid w:val="00FF2263"/>
    <w:rsid w:val="00FF2542"/>
    <w:rsid w:val="00FF29EF"/>
    <w:rsid w:val="00FF3816"/>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0D1CF"/>
  <w15:chartTrackingRefBased/>
  <w15:docId w15:val="{F620C7C7-AB02-3741-889B-869FC543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A0950"/>
    <w:rPr>
      <w:rFonts w:ascii="Calibri" w:hAnsi="Calibri" w:cs="Calibri"/>
    </w:rPr>
  </w:style>
  <w:style w:type="paragraph" w:styleId="Heading1">
    <w:name w:val="heading 1"/>
    <w:aliases w:val="Pocket"/>
    <w:basedOn w:val="Normal"/>
    <w:next w:val="Normal"/>
    <w:link w:val="Heading1Char"/>
    <w:qFormat/>
    <w:rsid w:val="00BA095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A095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qFormat/>
    <w:rsid w:val="00BA095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1,Ch,no read,No Spacing12,No Spacing211,No Spacing2111,Heading 211,Heading 2 Char2 Char,Heading 2 Char1 Char Char,No Spacing11111,Tags,TAG,No Spacing4,No Spacing5,No Spacing21,Card,tags,ta,t, Ch"/>
    <w:basedOn w:val="Normal"/>
    <w:next w:val="Normal"/>
    <w:link w:val="Heading4Char"/>
    <w:uiPriority w:val="3"/>
    <w:qFormat/>
    <w:rsid w:val="00BA0950"/>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A09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BA09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950"/>
  </w:style>
  <w:style w:type="character" w:styleId="Emphasis">
    <w:name w:val="Emphasis"/>
    <w:aliases w:val="Minimized,minimized,Highlighted,CD Card,tag2,ED - Tag,Evidence,Size 10,emphasis in card,Underlined,emphasis,Emphasis!!,small,Qualifications,bold underline,normal card text,Shrunk,qualifications in card,qualifications,Box,Style1,Bold Underline,s"/>
    <w:basedOn w:val="DefaultParagraphFont"/>
    <w:link w:val="Emphasis1"/>
    <w:uiPriority w:val="8"/>
    <w:qFormat/>
    <w:rsid w:val="00BA0950"/>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BA0950"/>
    <w:rPr>
      <w:color w:val="auto"/>
      <w:u w:val="none"/>
    </w:rPr>
  </w:style>
  <w:style w:type="character" w:customStyle="1" w:styleId="Heading1Char">
    <w:name w:val="Heading 1 Char"/>
    <w:aliases w:val="Pocket Char"/>
    <w:basedOn w:val="DefaultParagraphFont"/>
    <w:link w:val="Heading1"/>
    <w:rsid w:val="00BA095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A0950"/>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BA0950"/>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1 Char,Ch Char,no read Char,No Spacing12 Char,No Spacing211 Char,No Spacing2111 Char,Heading 211 Char,Heading 2 Char2 Char Char,Heading 2 Char1 Char Char Char"/>
    <w:basedOn w:val="DefaultParagraphFont"/>
    <w:link w:val="Heading4"/>
    <w:uiPriority w:val="3"/>
    <w:rsid w:val="00BA0950"/>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BA0950"/>
    <w:rPr>
      <w:b/>
      <w:bCs/>
      <w:sz w:val="26"/>
      <w:u w:val="singl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7"/>
    <w:qFormat/>
    <w:rsid w:val="00BA0950"/>
    <w:rPr>
      <w:b w:val="0"/>
      <w:sz w:val="22"/>
      <w:u w:val="single"/>
    </w:rPr>
  </w:style>
  <w:style w:type="character" w:styleId="Strong">
    <w:name w:val="Strong"/>
    <w:basedOn w:val="DefaultParagraphFont"/>
    <w:uiPriority w:val="22"/>
    <w:qFormat/>
    <w:rsid w:val="00BA0950"/>
    <w:rPr>
      <w:b/>
      <w:bCs/>
    </w:rPr>
  </w:style>
  <w:style w:type="character" w:styleId="BookTitle">
    <w:name w:val="Book Title"/>
    <w:basedOn w:val="DefaultParagraphFont"/>
    <w:uiPriority w:val="33"/>
    <w:semiHidden/>
    <w:qFormat/>
    <w:rsid w:val="00BA0950"/>
    <w:rPr>
      <w:b/>
      <w:bCs/>
      <w:i/>
      <w:iCs/>
      <w:spacing w:val="5"/>
    </w:rPr>
  </w:style>
  <w:style w:type="character" w:customStyle="1" w:styleId="Heading5Char">
    <w:name w:val="Heading 5 Char"/>
    <w:basedOn w:val="DefaultParagraphFont"/>
    <w:link w:val="Heading5"/>
    <w:uiPriority w:val="9"/>
    <w:semiHidden/>
    <w:rsid w:val="00BA0950"/>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BA0950"/>
  </w:style>
  <w:style w:type="paragraph" w:styleId="Header">
    <w:name w:val="header"/>
    <w:basedOn w:val="Normal"/>
    <w:link w:val="HeaderChar"/>
    <w:uiPriority w:val="99"/>
    <w:semiHidden/>
    <w:rsid w:val="00BA0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950"/>
    <w:rPr>
      <w:rFonts w:ascii="Calibri" w:hAnsi="Calibri" w:cs="Calibri"/>
    </w:rPr>
  </w:style>
  <w:style w:type="paragraph" w:styleId="Footer">
    <w:name w:val="footer"/>
    <w:basedOn w:val="Normal"/>
    <w:link w:val="FooterChar"/>
    <w:uiPriority w:val="99"/>
    <w:semiHidden/>
    <w:rsid w:val="00BA0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0950"/>
    <w:rPr>
      <w:rFonts w:ascii="Calibri" w:hAnsi="Calibri" w:cs="Calibri"/>
    </w:rPr>
  </w:style>
  <w:style w:type="paragraph" w:styleId="BodyText">
    <w:name w:val="Body Text"/>
    <w:basedOn w:val="Normal"/>
    <w:link w:val="BodyTextChar"/>
    <w:uiPriority w:val="99"/>
    <w:semiHidden/>
    <w:unhideWhenUsed/>
    <w:rsid w:val="00BA0950"/>
    <w:pPr>
      <w:spacing w:after="120"/>
    </w:pPr>
  </w:style>
  <w:style w:type="character" w:customStyle="1" w:styleId="BodyTextChar">
    <w:name w:val="Body Text Char"/>
    <w:basedOn w:val="DefaultParagraphFont"/>
    <w:link w:val="BodyText"/>
    <w:uiPriority w:val="99"/>
    <w:semiHidden/>
    <w:rsid w:val="00BA0950"/>
    <w:rPr>
      <w:rFonts w:ascii="Calibri" w:hAnsi="Calibri" w:cs="Calibri"/>
    </w:rPr>
  </w:style>
  <w:style w:type="paragraph" w:styleId="NoSpacing">
    <w:name w:val="No Spacing"/>
    <w:aliases w:val="Card Format,DDI Tag,Tag Title,No Spacing6,No Spacing tnr,ClearFormatting,Hidden Block Title,No Spacing311,No Spacing51,No Spacing8,Dont u,No Spacing1111111,Note Level 2,Small Text,Note Level 21,Clear,No Spacing11211,No Spacing13,No Spacing23"/>
    <w:link w:val="NoSpacingChar"/>
    <w:uiPriority w:val="99"/>
    <w:unhideWhenUsed/>
    <w:qFormat/>
    <w:rsid w:val="00BA0950"/>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
    <w:basedOn w:val="DefaultParagraphFont"/>
    <w:link w:val="NoSpacing"/>
    <w:uiPriority w:val="99"/>
    <w:rsid w:val="00BA0950"/>
    <w:rPr>
      <w:rFonts w:ascii="Calibri" w:hAnsi="Calibri" w:cs="Calibri"/>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Small Text Char,Important,C"/>
    <w:basedOn w:val="DefaultParagraphFont"/>
    <w:uiPriority w:val="99"/>
    <w:unhideWhenUsed/>
    <w:rsid w:val="00BA0950"/>
    <w:rPr>
      <w:color w:val="0563C1" w:themeColor="hyperlink"/>
      <w:u w:val="single"/>
    </w:rPr>
  </w:style>
  <w:style w:type="character" w:styleId="UnresolvedMention">
    <w:name w:val="Unresolved Mention"/>
    <w:basedOn w:val="DefaultParagraphFont"/>
    <w:uiPriority w:val="99"/>
    <w:semiHidden/>
    <w:unhideWhenUsed/>
    <w:rsid w:val="00BA0950"/>
    <w:rPr>
      <w:color w:val="605E5C"/>
      <w:shd w:val="clear" w:color="auto" w:fill="E1DFDD"/>
    </w:rPr>
  </w:style>
  <w:style w:type="character" w:customStyle="1" w:styleId="Code">
    <w:name w:val="Code"/>
    <w:basedOn w:val="DefaultParagraphFont"/>
    <w:uiPriority w:val="1"/>
    <w:qFormat/>
    <w:rsid w:val="005E74CB"/>
    <w:rPr>
      <w:rFonts w:ascii="Menlo" w:hAnsi="Menlo"/>
      <w:color w:val="C00000"/>
      <w:sz w:val="18"/>
    </w:rPr>
  </w:style>
  <w:style w:type="paragraph" w:customStyle="1" w:styleId="Emphasis1">
    <w:name w:val="Emphasis1"/>
    <w:basedOn w:val="Normal"/>
    <w:link w:val="Emphasis"/>
    <w:autoRedefine/>
    <w:uiPriority w:val="8"/>
    <w:qFormat/>
    <w:rsid w:val="009910B5"/>
    <w:pPr>
      <w:pBdr>
        <w:top w:val="single" w:sz="4" w:space="1" w:color="auto"/>
        <w:left w:val="single" w:sz="4" w:space="4" w:color="auto"/>
        <w:bottom w:val="single" w:sz="4" w:space="1" w:color="auto"/>
        <w:right w:val="single" w:sz="4" w:space="4" w:color="auto"/>
      </w:pBdr>
      <w:ind w:left="720"/>
      <w:jc w:val="both"/>
    </w:pPr>
    <w:rPr>
      <w:b/>
      <w:iCs/>
      <w:u w:val="single"/>
      <w:bdr w:val="single" w:sz="18" w:space="0" w:color="auto"/>
    </w:rPr>
  </w:style>
  <w:style w:type="paragraph" w:customStyle="1" w:styleId="textbold">
    <w:name w:val="text bold"/>
    <w:basedOn w:val="Normal"/>
    <w:uiPriority w:val="8"/>
    <w:qFormat/>
    <w:rsid w:val="00214E2A"/>
    <w:pPr>
      <w:pBdr>
        <w:top w:val="single" w:sz="4" w:space="0" w:color="auto"/>
        <w:left w:val="single" w:sz="4" w:space="0" w:color="auto"/>
        <w:bottom w:val="single" w:sz="4" w:space="0" w:color="auto"/>
        <w:right w:val="single" w:sz="4" w:space="0" w:color="auto"/>
      </w:pBdr>
      <w:ind w:left="720"/>
      <w:jc w:val="both"/>
    </w:pPr>
    <w:rPr>
      <w:b/>
      <w:iCs/>
      <w:sz w:val="24"/>
      <w:u w:val="single"/>
      <w:bdr w:val="single" w:sz="8" w:space="0" w:color="auto"/>
    </w:rPr>
  </w:style>
  <w:style w:type="paragraph" w:styleId="NormalWeb">
    <w:name w:val="Normal (Web)"/>
    <w:basedOn w:val="Normal"/>
    <w:uiPriority w:val="99"/>
    <w:semiHidden/>
    <w:unhideWhenUsed/>
    <w:rsid w:val="000A22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07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413287310">
      <w:bodyDiv w:val="1"/>
      <w:marLeft w:val="0"/>
      <w:marRight w:val="0"/>
      <w:marTop w:val="0"/>
      <w:marBottom w:val="0"/>
      <w:divBdr>
        <w:top w:val="none" w:sz="0" w:space="0" w:color="auto"/>
        <w:left w:val="none" w:sz="0" w:space="0" w:color="auto"/>
        <w:bottom w:val="none" w:sz="0" w:space="0" w:color="auto"/>
        <w:right w:val="none" w:sz="0" w:space="0" w:color="auto"/>
      </w:divBdr>
    </w:div>
    <w:div w:id="705908205">
      <w:bodyDiv w:val="1"/>
      <w:marLeft w:val="0"/>
      <w:marRight w:val="0"/>
      <w:marTop w:val="0"/>
      <w:marBottom w:val="0"/>
      <w:divBdr>
        <w:top w:val="none" w:sz="0" w:space="0" w:color="auto"/>
        <w:left w:val="none" w:sz="0" w:space="0" w:color="auto"/>
        <w:bottom w:val="none" w:sz="0" w:space="0" w:color="auto"/>
        <w:right w:val="none" w:sz="0" w:space="0" w:color="auto"/>
      </w:divBdr>
      <w:divsChild>
        <w:div w:id="11250774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46</Pages>
  <Words>3651</Words>
  <Characters>18475</Characters>
  <Application>Microsoft Office Word</Application>
  <DocSecurity>0</DocSecurity>
  <Lines>595</Lines>
  <Paragraphs>303</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Coralynn C</dc:creator>
  <cp:keywords>6.0.0</cp:keywords>
  <dc:description/>
  <cp:lastModifiedBy>David Dosch</cp:lastModifiedBy>
  <cp:revision>5</cp:revision>
  <dcterms:created xsi:type="dcterms:W3CDTF">2024-07-17T02:39:00Z</dcterms:created>
  <dcterms:modified xsi:type="dcterms:W3CDTF">2024-07-17T05:40:00Z</dcterms:modified>
</cp:coreProperties>
</file>